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206D" w14:textId="77777777" w:rsidR="00420E38" w:rsidRDefault="00371FCE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P30"/>
      <w:bookmarkEnd w:id="0"/>
      <w:r>
        <w:rPr>
          <w:noProof/>
        </w:rPr>
        <w:drawing>
          <wp:inline distT="0" distB="0" distL="0" distR="0" wp14:anchorId="02C5021B" wp14:editId="5AEE7A08">
            <wp:extent cx="441960" cy="56197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CDE32" w14:textId="77777777" w:rsidR="00420E38" w:rsidRDefault="00371FCE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03A513E3" w14:textId="77777777" w:rsidR="00420E38" w:rsidRDefault="00371FCE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АДМИНИСТРАЦИЯ ГОРОДСКОГО ОКРУГА КРАСНОУФИМСК</w:t>
      </w:r>
    </w:p>
    <w:p w14:paraId="6EF89845" w14:textId="77777777" w:rsidR="00420E38" w:rsidRDefault="00420E38">
      <w:pPr>
        <w:spacing w:after="0"/>
        <w:jc w:val="center"/>
        <w:rPr>
          <w:rFonts w:ascii="Liberation Serif" w:hAnsi="Liberation Serif" w:cs="Times New Roman"/>
          <w:b/>
          <w:spacing w:val="-20"/>
          <w:sz w:val="28"/>
          <w:szCs w:val="28"/>
        </w:rPr>
      </w:pPr>
    </w:p>
    <w:p w14:paraId="51F680BB" w14:textId="77777777" w:rsidR="00420E38" w:rsidRDefault="00420E38">
      <w:pPr>
        <w:spacing w:after="0"/>
        <w:jc w:val="center"/>
        <w:rPr>
          <w:rFonts w:ascii="Liberation Serif" w:hAnsi="Liberation Serif" w:cs="Times New Roman"/>
          <w:b/>
          <w:spacing w:val="-20"/>
          <w:sz w:val="28"/>
          <w:szCs w:val="28"/>
        </w:rPr>
      </w:pPr>
    </w:p>
    <w:p w14:paraId="78B574E6" w14:textId="77777777" w:rsidR="00420E38" w:rsidRDefault="00371FCE">
      <w:pPr>
        <w:spacing w:after="0"/>
        <w:jc w:val="center"/>
        <w:rPr>
          <w:rFonts w:ascii="Liberation Serif" w:hAnsi="Liberation Serif" w:cs="Times New Roman"/>
          <w:b/>
          <w:spacing w:val="50"/>
          <w:sz w:val="28"/>
          <w:szCs w:val="28"/>
        </w:rPr>
      </w:pPr>
      <w:r>
        <w:rPr>
          <w:rFonts w:ascii="Liberation Serif" w:hAnsi="Liberation Serif" w:cs="Times New Roman"/>
          <w:b/>
          <w:spacing w:val="50"/>
          <w:sz w:val="28"/>
          <w:szCs w:val="28"/>
        </w:rPr>
        <w:t>ПОСТАНОВЛЕНИЕ</w:t>
      </w:r>
    </w:p>
    <w:p w14:paraId="64529C21" w14:textId="77777777" w:rsidR="00420E38" w:rsidRDefault="00420E38">
      <w:pPr>
        <w:spacing w:after="0"/>
        <w:rPr>
          <w:rFonts w:ascii="Liberation Serif" w:hAnsi="Liberation Serif" w:cs="Times New Roman"/>
          <w:spacing w:val="-20"/>
          <w:sz w:val="28"/>
          <w:szCs w:val="28"/>
        </w:rPr>
      </w:pPr>
    </w:p>
    <w:p w14:paraId="503C9280" w14:textId="2AB8A73B" w:rsidR="00420E38" w:rsidRDefault="00371FCE">
      <w:pPr>
        <w:spacing w:after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1E40E2">
        <w:rPr>
          <w:rFonts w:ascii="Liberation Serif" w:hAnsi="Liberation Serif" w:cs="Times New Roman"/>
          <w:sz w:val="28"/>
          <w:szCs w:val="28"/>
        </w:rPr>
        <w:t xml:space="preserve">31 </w:t>
      </w:r>
      <w:r w:rsidR="001E40E2" w:rsidRPr="001E40E2">
        <w:rPr>
          <w:rFonts w:ascii="Liberation Serif" w:hAnsi="Liberation Serif" w:cs="Times New Roman"/>
          <w:sz w:val="28"/>
          <w:szCs w:val="28"/>
        </w:rPr>
        <w:t xml:space="preserve">октября </w:t>
      </w:r>
      <w:r>
        <w:rPr>
          <w:rFonts w:ascii="Liberation Serif" w:hAnsi="Liberation Serif" w:cs="Times New Roman"/>
          <w:sz w:val="28"/>
          <w:szCs w:val="28"/>
        </w:rPr>
        <w:t xml:space="preserve">2023            </w:t>
      </w:r>
      <w:r>
        <w:rPr>
          <w:rFonts w:ascii="Liberation Serif" w:hAnsi="Liberation Serif" w:cs="Times New Roman"/>
          <w:sz w:val="28"/>
          <w:szCs w:val="28"/>
        </w:rPr>
        <w:tab/>
        <w:t xml:space="preserve">                                                                     </w:t>
      </w:r>
      <w:r w:rsidR="001E40E2">
        <w:rPr>
          <w:rFonts w:ascii="Liberation Serif" w:hAnsi="Liberation Serif" w:cs="Times New Roman"/>
          <w:sz w:val="28"/>
          <w:szCs w:val="28"/>
        </w:rPr>
        <w:t xml:space="preserve">               </w:t>
      </w:r>
      <w:r>
        <w:rPr>
          <w:rFonts w:ascii="Liberation Serif" w:hAnsi="Liberation Serif" w:cs="Times New Roman"/>
          <w:sz w:val="28"/>
          <w:szCs w:val="28"/>
        </w:rPr>
        <w:t xml:space="preserve">№ </w:t>
      </w:r>
      <w:r w:rsidR="001E40E2">
        <w:rPr>
          <w:rFonts w:ascii="Liberation Serif" w:hAnsi="Liberation Serif" w:cs="Times New Roman"/>
          <w:sz w:val="28"/>
          <w:szCs w:val="28"/>
        </w:rPr>
        <w:t>1043</w:t>
      </w:r>
    </w:p>
    <w:p w14:paraId="3ECD23A6" w14:textId="77777777" w:rsidR="00420E38" w:rsidRDefault="00420E38">
      <w:pPr>
        <w:spacing w:after="0"/>
        <w:rPr>
          <w:rFonts w:ascii="Liberation Serif" w:hAnsi="Liberation Serif" w:cs="Times New Roman"/>
          <w:sz w:val="28"/>
          <w:szCs w:val="28"/>
        </w:rPr>
      </w:pPr>
    </w:p>
    <w:p w14:paraId="5EDD6767" w14:textId="77777777" w:rsidR="00420E38" w:rsidRDefault="00371FCE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г. Красноуфимск</w:t>
      </w:r>
    </w:p>
    <w:p w14:paraId="6ED4BAEC" w14:textId="77777777" w:rsidR="00420E38" w:rsidRDefault="00420E38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14:paraId="7213EE23" w14:textId="77777777" w:rsidR="00420E38" w:rsidRDefault="00371FCE">
      <w:pPr>
        <w:spacing w:after="0" w:line="240" w:lineRule="auto"/>
        <w:jc w:val="center"/>
        <w:rPr>
          <w:rFonts w:ascii="Liberation Serif" w:hAnsi="Liberation Serif" w:cs="Times New Roman"/>
          <w:b/>
          <w:bCs/>
          <w:i/>
          <w:sz w:val="28"/>
          <w:szCs w:val="28"/>
        </w:rPr>
      </w:pP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Об утверждении Условий размещения нестационарных </w:t>
      </w:r>
    </w:p>
    <w:p w14:paraId="01A39F0B" w14:textId="77777777" w:rsidR="00420E38" w:rsidRDefault="00371FCE">
      <w:pPr>
        <w:pStyle w:val="30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>торговых объектов на территории городского округа</w:t>
      </w:r>
      <w:r>
        <w:rPr>
          <w:rFonts w:ascii="Liberation Serif" w:hAnsi="Liberation Serif"/>
          <w:b/>
          <w:i/>
          <w:iCs/>
          <w:sz w:val="28"/>
          <w:szCs w:val="28"/>
        </w:rPr>
        <w:t xml:space="preserve"> Красноуфимск </w:t>
      </w:r>
    </w:p>
    <w:p w14:paraId="7D1912E1" w14:textId="77777777" w:rsidR="00420E38" w:rsidRDefault="00420E38">
      <w:pPr>
        <w:pStyle w:val="30"/>
        <w:spacing w:after="0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14:paraId="45F6302F" w14:textId="035E821E" w:rsidR="00420E38" w:rsidRDefault="00371FCE">
      <w:pPr>
        <w:pStyle w:val="30"/>
        <w:spacing w:after="0"/>
        <w:ind w:firstLine="426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пунктом 6 части 1 статьи 6 и статьей 10 Федерального закона от 28 декабря 2009 года  № 381-ФЗ «Об основах государственного регулирования торговой деятельности в Российской Федерации», подпунктом 5 пункта 3 статьи 3 </w:t>
      </w:r>
      <w:hyperlink r:id="rId7">
        <w:r>
          <w:rPr>
            <w:rFonts w:ascii="Liberation Serif" w:hAnsi="Liberation Serif"/>
            <w:sz w:val="28"/>
            <w:szCs w:val="28"/>
          </w:rPr>
          <w:t>Закона</w:t>
        </w:r>
      </w:hyperlink>
      <w:r>
        <w:rPr>
          <w:rFonts w:ascii="Liberation Serif" w:hAnsi="Liberation Serif"/>
          <w:sz w:val="28"/>
          <w:szCs w:val="28"/>
        </w:rPr>
        <w:t xml:space="preserve"> Свердловской области от 21 марта 2012 года № 24-ОЗ «О торговой деятельности на территории Свердловской области», Постановлением Правительства Свердловской области от 14.09.2023 № 660-ПП «О внесении изменений в постановление Правительства Свердловской области от 27.04.2017 № 295-ПП «Об утверждении Порядка разработки и утверждения схем размещения нестационарных торговых объектов в муниципальных образованиях, расположенных на территории Свердловской области», Постановлением Правительства Свердловской области от 14.03.2019 № 164-ПП «Об утверждении Порядка размещения нестационарных торговых объектов на территории Свердловской области» (с изменениями от 15.08.2019 № 522-ПП, от 06.02.2020 № 55-ПП, от 11.02.2021 № 64-ПП, от 08.12.2022 № 849-ПП, от 22.06.2023 № 447-ПП)</w:t>
      </w:r>
      <w:r>
        <w:rPr>
          <w:rFonts w:ascii="Liberation Serif" w:hAnsi="Liberation Serif"/>
          <w:iCs/>
          <w:sz w:val="28"/>
          <w:szCs w:val="28"/>
        </w:rPr>
        <w:t>,</w:t>
      </w:r>
      <w:r w:rsidR="00710E8F">
        <w:rPr>
          <w:rFonts w:ascii="Liberation Serif" w:hAnsi="Liberation Serif"/>
          <w:iCs/>
          <w:sz w:val="28"/>
          <w:szCs w:val="28"/>
        </w:rPr>
        <w:t xml:space="preserve"> руководствуясь ст. 31, 48 Устава городского округа Красноуфимск</w:t>
      </w:r>
      <w:r>
        <w:rPr>
          <w:rFonts w:ascii="Liberation Serif" w:hAnsi="Liberation Serif"/>
          <w:iCs/>
          <w:sz w:val="28"/>
          <w:szCs w:val="28"/>
        </w:rPr>
        <w:t xml:space="preserve"> </w:t>
      </w:r>
    </w:p>
    <w:p w14:paraId="05D9406B" w14:textId="5BB2712B" w:rsidR="00420E38" w:rsidRDefault="00371FCE">
      <w:pPr>
        <w:pStyle w:val="30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7A88F839" w14:textId="77777777" w:rsidR="00420E38" w:rsidRDefault="00371F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Утвердить Условия </w:t>
      </w:r>
      <w:r>
        <w:rPr>
          <w:rFonts w:ascii="Liberation Serif" w:hAnsi="Liberation Serif" w:cs="Times New Roman"/>
          <w:bCs/>
          <w:sz w:val="28"/>
          <w:szCs w:val="28"/>
        </w:rPr>
        <w:t>размещения нестационарных торговых объектов на территории городского округа</w:t>
      </w:r>
      <w:r>
        <w:rPr>
          <w:rFonts w:ascii="Liberation Serif" w:hAnsi="Liberation Serif" w:cs="Times New Roman"/>
          <w:iCs/>
          <w:sz w:val="28"/>
          <w:szCs w:val="28"/>
        </w:rPr>
        <w:t xml:space="preserve"> Красноуфимск (приложение).</w:t>
      </w:r>
    </w:p>
    <w:p w14:paraId="73A79B1D" w14:textId="77777777" w:rsidR="00420E38" w:rsidRPr="00710E8F" w:rsidRDefault="00371F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Постановление Администрации городского округа Красноуфимск от 30.08.2019 г. № 644 «Об утверждении Условий размещения </w:t>
      </w:r>
      <w:r>
        <w:rPr>
          <w:rFonts w:ascii="Liberation Serif" w:hAnsi="Liberation Serif" w:cs="Liberation Serif"/>
          <w:sz w:val="28"/>
          <w:szCs w:val="28"/>
        </w:rPr>
        <w:t xml:space="preserve">нестационарных торговых объектов </w:t>
      </w:r>
      <w:r>
        <w:rPr>
          <w:rFonts w:ascii="Liberation Serif" w:hAnsi="Liberation Serif" w:cs="Times New Roman"/>
          <w:sz w:val="28"/>
          <w:szCs w:val="28"/>
        </w:rPr>
        <w:t xml:space="preserve">на территории </w:t>
      </w:r>
      <w:r>
        <w:rPr>
          <w:rFonts w:ascii="Liberation Serif" w:hAnsi="Liberation Serif" w:cs="Times New Roman"/>
          <w:bCs/>
          <w:sz w:val="28"/>
          <w:szCs w:val="28"/>
        </w:rPr>
        <w:t>городского округа</w:t>
      </w:r>
      <w:r>
        <w:rPr>
          <w:rFonts w:ascii="Liberation Serif" w:hAnsi="Liberation Serif" w:cs="Times New Roman"/>
          <w:iCs/>
          <w:sz w:val="28"/>
          <w:szCs w:val="28"/>
        </w:rPr>
        <w:t xml:space="preserve"> Красноуфимск» (с изменениями, внесенными постановлениями Администрации городского округа Красноуфимск от 16.12.2019 № 923, от </w:t>
      </w:r>
      <w:r>
        <w:rPr>
          <w:rFonts w:ascii="Liberation Serif" w:hAnsi="Liberation Serif"/>
          <w:sz w:val="28"/>
          <w:szCs w:val="28"/>
        </w:rPr>
        <w:t>12.03.2020 № 157, от 23.03.2021 № 212, от 01.07.2022 № 613, от 05.12.2022 № 1120, от 07.06.2023 № 553) считать утратившим силу с 01 января 2024 года.</w:t>
      </w:r>
    </w:p>
    <w:p w14:paraId="2ACF40B1" w14:textId="77777777" w:rsidR="00710E8F" w:rsidRDefault="00710E8F" w:rsidP="00710E8F">
      <w:pPr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</w:p>
    <w:p w14:paraId="7FF6A3D6" w14:textId="77777777" w:rsidR="00420E38" w:rsidRDefault="00371F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Опубликовать настоящее постановление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 в сети «Интернет».</w:t>
      </w:r>
    </w:p>
    <w:p w14:paraId="33F85622" w14:textId="77777777" w:rsidR="00420E38" w:rsidRDefault="00371F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Настоящее постановление вступает в силу с 01 января 2024 года.</w:t>
      </w:r>
    </w:p>
    <w:p w14:paraId="590D26E6" w14:textId="77777777" w:rsidR="00420E38" w:rsidRDefault="00371F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Контроль за исполнением настоящего постановления отставляю за собой.</w:t>
      </w:r>
    </w:p>
    <w:p w14:paraId="689A2982" w14:textId="77777777" w:rsidR="00420E38" w:rsidRDefault="00420E38">
      <w:pPr>
        <w:pStyle w:val="30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</w:p>
    <w:p w14:paraId="7D3745E7" w14:textId="77777777" w:rsidR="00420E38" w:rsidRDefault="00420E38">
      <w:pPr>
        <w:pStyle w:val="30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</w:p>
    <w:p w14:paraId="4C819B6A" w14:textId="77777777" w:rsidR="00420E38" w:rsidRDefault="00371FCE">
      <w:pPr>
        <w:pStyle w:val="30"/>
        <w:spacing w:after="0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Глава городского округа Красноуфимск                                          </w:t>
      </w:r>
      <w:r>
        <w:rPr>
          <w:rFonts w:ascii="Liberation Serif" w:hAnsi="Liberation Serif"/>
          <w:iCs/>
          <w:sz w:val="28"/>
          <w:szCs w:val="28"/>
        </w:rPr>
        <w:tab/>
        <w:t>М.А.Конев</w:t>
      </w:r>
    </w:p>
    <w:p w14:paraId="23340BF3" w14:textId="77777777" w:rsidR="00420E38" w:rsidRDefault="00371FCE">
      <w:pPr>
        <w:spacing w:after="0"/>
        <w:rPr>
          <w:rFonts w:ascii="Liberation Serif" w:hAnsi="Liberation Serif" w:cs="Times New Roman"/>
          <w:b/>
          <w:sz w:val="28"/>
          <w:szCs w:val="28"/>
        </w:rPr>
      </w:pPr>
      <w:r>
        <w:br w:type="page"/>
      </w:r>
    </w:p>
    <w:p w14:paraId="1EBB25F9" w14:textId="77777777" w:rsidR="00420E38" w:rsidRDefault="00371FCE">
      <w:pPr>
        <w:pStyle w:val="ConsPlusTitle"/>
        <w:jc w:val="right"/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lastRenderedPageBreak/>
        <w:t>Утверждено постановлением</w:t>
      </w:r>
    </w:p>
    <w:p w14:paraId="0CAC79E2" w14:textId="77777777" w:rsidR="00420E38" w:rsidRDefault="00371FCE">
      <w:pPr>
        <w:pStyle w:val="ConsPlusTitle"/>
        <w:jc w:val="right"/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Администрации городского округа</w:t>
      </w:r>
    </w:p>
    <w:p w14:paraId="4FCC7DF6" w14:textId="77777777" w:rsidR="00420E38" w:rsidRDefault="00371FCE">
      <w:pPr>
        <w:pStyle w:val="ConsPlusTitle"/>
        <w:jc w:val="right"/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Красноуфимск</w:t>
      </w:r>
    </w:p>
    <w:p w14:paraId="73091C4F" w14:textId="3A666848" w:rsidR="00420E38" w:rsidRDefault="00371FCE">
      <w:pPr>
        <w:tabs>
          <w:tab w:val="left" w:pos="7938"/>
        </w:tabs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от   </w:t>
      </w:r>
      <w:r w:rsidR="00AE3F19">
        <w:rPr>
          <w:rFonts w:ascii="Liberation Serif" w:hAnsi="Liberation Serif"/>
          <w:sz w:val="24"/>
          <w:szCs w:val="24"/>
        </w:rPr>
        <w:t xml:space="preserve">31.1. </w:t>
      </w:r>
      <w:r>
        <w:rPr>
          <w:rFonts w:ascii="Liberation Serif" w:hAnsi="Liberation Serif"/>
          <w:sz w:val="24"/>
          <w:szCs w:val="24"/>
        </w:rPr>
        <w:t>2023 №</w:t>
      </w:r>
      <w:r w:rsidR="00AE3F19">
        <w:rPr>
          <w:rFonts w:ascii="Liberation Serif" w:hAnsi="Liberation Serif"/>
          <w:sz w:val="24"/>
          <w:szCs w:val="24"/>
        </w:rPr>
        <w:t xml:space="preserve"> 1043</w:t>
      </w:r>
    </w:p>
    <w:p w14:paraId="3F8FE9A7" w14:textId="77777777" w:rsidR="00420E38" w:rsidRDefault="00420E38">
      <w:pPr>
        <w:pStyle w:val="ConsPlusTitle"/>
        <w:jc w:val="right"/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</w:pPr>
    </w:p>
    <w:p w14:paraId="0F037553" w14:textId="77777777" w:rsidR="00420E38" w:rsidRDefault="00420E38">
      <w:pPr>
        <w:pStyle w:val="ConsPlusTitle"/>
        <w:jc w:val="right"/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</w:pPr>
    </w:p>
    <w:p w14:paraId="12B8B9D6" w14:textId="77777777" w:rsidR="00420E38" w:rsidRDefault="00371FCE">
      <w:pPr>
        <w:pStyle w:val="ConsPlusTitle"/>
        <w:jc w:val="center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УСЛОВИЯ</w:t>
      </w:r>
    </w:p>
    <w:p w14:paraId="53BE018F" w14:textId="77777777" w:rsidR="00420E38" w:rsidRDefault="00371FCE">
      <w:pPr>
        <w:pStyle w:val="ConsPlusTitle"/>
        <w:jc w:val="center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РАЗМЕЩЕНИЯ НЕСТАЦИОНАРНЫХ ТОРГОВЫХ ОБЪЕКТОВ</w:t>
      </w:r>
    </w:p>
    <w:p w14:paraId="3B4EBB58" w14:textId="77777777" w:rsidR="00420E38" w:rsidRDefault="00371FCE">
      <w:pPr>
        <w:pStyle w:val="ConsPlusTitle"/>
        <w:jc w:val="center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НА ТЕРРИТОРИИ ГОРОДСКОГО ОКРУГА КРАСНОУФИМСК</w:t>
      </w:r>
    </w:p>
    <w:p w14:paraId="5675E420" w14:textId="77777777" w:rsidR="00420E38" w:rsidRDefault="00420E38">
      <w:pPr>
        <w:pStyle w:val="ConsPlusNormal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14:paraId="03BD9292" w14:textId="77777777" w:rsidR="00420E38" w:rsidRDefault="00371FCE">
      <w:pPr>
        <w:pStyle w:val="ConsPlusTitle"/>
        <w:jc w:val="center"/>
        <w:outlineLvl w:val="1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Глава 1. ОБЩИЕ ПОЛОЖЕНИЯ</w:t>
      </w:r>
    </w:p>
    <w:p w14:paraId="1AAC9095" w14:textId="77777777" w:rsidR="00420E38" w:rsidRDefault="00420E38">
      <w:pPr>
        <w:pStyle w:val="ConsPlusNormal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14:paraId="693357A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1.</w:t>
      </w:r>
      <w:r>
        <w:rPr>
          <w:rFonts w:ascii="Liberation Serif" w:hAnsi="Liberation Serif" w:cs="Times New Roman"/>
          <w:sz w:val="24"/>
          <w:szCs w:val="24"/>
        </w:rPr>
        <w:t xml:space="preserve">1. Настоящие Условия размещения нестационарных торговых объектов на территории городского округа Красноуфимск (далее – Условия) разработаны в соответствии с Федеральным </w:t>
      </w:r>
      <w:hyperlink r:id="rId8">
        <w:r>
          <w:rPr>
            <w:rFonts w:ascii="Liberation Serif" w:hAnsi="Liberation Serif" w:cs="Times New Roman"/>
            <w:sz w:val="24"/>
            <w:szCs w:val="24"/>
          </w:rPr>
          <w:t>закон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ом от 28 декабря 2009 года № 381-ФЗ «Об основах государственного регулирования торговой деятельности в Российской Федерации», </w:t>
      </w:r>
      <w:hyperlink r:id="rId9">
        <w:r>
          <w:rPr>
            <w:rFonts w:ascii="Liberation Serif" w:hAnsi="Liberation Serif" w:cs="Times New Roman"/>
            <w:sz w:val="24"/>
            <w:szCs w:val="24"/>
          </w:rPr>
          <w:t>Закон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ом Свердловской области от 21 марта 2012 года № 24-ОЗ «О торговой деятельности на территории Свердловской области», Постановлениями Правительства Свердловской области от 27.04.2017 № 295-ПП </w:t>
      </w:r>
      <w:r>
        <w:rPr>
          <w:rFonts w:ascii="Liberation Serif" w:hAnsi="Liberation Serif" w:cs="Times New Roman"/>
          <w:bCs/>
          <w:sz w:val="24"/>
          <w:szCs w:val="24"/>
        </w:rPr>
        <w:t>«Об утверждении Порядка разработки и утверждения схем размещения нестационарных торговых объектов в муниципальных образованиях, расположенных на территории Свердловской области» (с изменениями от 22.11.2017 № 859-ПП, от 01.08.2019 №453-ПП, от 29.08.219 № 555-ПП, от 29.12.2021 № 998-ПП, от 08.12.2022 № 836-ПП, от 14.09.2023 № 660-ПП) и</w:t>
      </w:r>
      <w:r>
        <w:rPr>
          <w:rFonts w:ascii="Liberation Serif" w:hAnsi="Liberation Serif" w:cs="Times New Roman"/>
          <w:sz w:val="24"/>
          <w:szCs w:val="24"/>
        </w:rPr>
        <w:t xml:space="preserve"> от 14.03.2019 № 164-ПП «Об утверждении Порядка размещения нестационарных торговых объектов на территории Свердловской области» (с изменениями от 15.08.2019 № 522-ПП, от 06.02.2020 № 55-ПП, от 11.02.2021 № 64-ПП, от 22.06.2023 № 447-ПП) и регулируют отношения, возникающие в процессе размещения нестационарных торговых объектов на территории городского округа Красноуфимск.</w:t>
      </w:r>
    </w:p>
    <w:p w14:paraId="71B786D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1.2. Настоящие Условия определяют:</w:t>
      </w:r>
    </w:p>
    <w:p w14:paraId="28BD2E7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порядок разработки и утверждения схемы размещения нестационарных торговых объектов на территории городского округа Красноуфимск;</w:t>
      </w:r>
    </w:p>
    <w:p w14:paraId="7CAC59F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требования к внешнему виду и к размещению нестационарных торговых объектов на территории городского округа Красноуфимск;</w:t>
      </w:r>
    </w:p>
    <w:p w14:paraId="7B04C85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порядок проведения аукциона, предметом которого является право на заключение договора на размещение нестационарных торговых объектов на землях, земельных участках, находящихся в муниципальной собственности городского округа Красноуфимск, и земельных участках, право государственной собственности на которые не разграничено.</w:t>
      </w:r>
    </w:p>
    <w:p w14:paraId="0186FA5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 основания для отказа в заключении договора;</w:t>
      </w:r>
    </w:p>
    <w:p w14:paraId="323EA6C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 основания для расторжения договора;</w:t>
      </w:r>
    </w:p>
    <w:p w14:paraId="2890417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1.3. Разработка Схемы размещения нестационарных торговых объектов на территории городского округа Красноуфимск (далее – Схема размещения) осуществляется в следующих целях:</w:t>
      </w:r>
    </w:p>
    <w:p w14:paraId="412B265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удовлетворение потребности населения в доступности продовольственных и непродовольственных товаров малыми форматами розничной торговли;</w:t>
      </w:r>
    </w:p>
    <w:p w14:paraId="2F69AB3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достижение и последующее соблюдение установленных нормативов минимальной обеспеченности населения городского округа Красноуфимск площадью нестационарных торговых объектов;</w:t>
      </w:r>
    </w:p>
    <w:p w14:paraId="03DAE8A1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соблюдение прав и законных интересов населения по обеспечению требований безопасности при размещении нестационарных торговых объектов, в соответствии с требованиями законодательства Российской Федерации и Свердловской области;</w:t>
      </w:r>
    </w:p>
    <w:p w14:paraId="001B151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 обеспечение единства требований к размещению нестационарных торговых объектов;</w:t>
      </w:r>
    </w:p>
    <w:p w14:paraId="2A04304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5) соблюдение прав и законных интересов субъектов торговли при разработке Схемы </w:t>
      </w:r>
      <w:r>
        <w:rPr>
          <w:rFonts w:ascii="Liberation Serif" w:hAnsi="Liberation Serif" w:cs="Times New Roman"/>
          <w:sz w:val="24"/>
          <w:szCs w:val="24"/>
        </w:rPr>
        <w:lastRenderedPageBreak/>
        <w:t>размещения, внесении в нее изменений по инициативе органов местного самоуправления городского округа Красноуфимск, включая применение компенсационных механизмов;</w:t>
      </w:r>
    </w:p>
    <w:p w14:paraId="7DBDCED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6) формирование многоформатной торговой инфраструктуры с учетом видов и типов торговых объектов, форм и способов торговли.</w:t>
      </w:r>
    </w:p>
    <w:p w14:paraId="75B5FB2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1.4. Для целей настоящих Условий используются следующие основные понятия:</w:t>
      </w:r>
    </w:p>
    <w:p w14:paraId="6171059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нестационарный торговый объект –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14:paraId="2E0C4917" w14:textId="7FACFEB1" w:rsidR="00563588" w:rsidRDefault="0056358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10879">
        <w:rPr>
          <w:rFonts w:ascii="Liberation Serif" w:hAnsi="Liberation Serif" w:cs="Times New Roman"/>
          <w:sz w:val="24"/>
          <w:szCs w:val="24"/>
        </w:rPr>
        <w:t>учетный номер места размещения нестационарного торгового объекта – уникальный номер, присваиваемый каждому предусмотренному Схемой размещения месту нестационарного торгового объекта, используемый в целях учета нестационарных торговых объектов, размещаемых в пределах территории городского округа Красноуфимск;</w:t>
      </w:r>
    </w:p>
    <w:p w14:paraId="47EF9C5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перспективное место размещения нестационарного торгового объекта – место размещения нестационарного торгового объекта, определенное в целях восполнения недостатка оказания услуг розничной торговли, удовлетворения потребности населения в доступности данных услуг;</w:t>
      </w:r>
    </w:p>
    <w:p w14:paraId="4E4E6BF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компенсационное место размещения нестационарного торгового объекта – альтернативное место размещения нестационарного торгового объекта, используемое в случае досрочного расторжения договора, предусматривающего размещение нестационарного торгового объекта, по основаниям, указанным в пункте 2.28 настоящих Условий;</w:t>
      </w:r>
    </w:p>
    <w:p w14:paraId="31907D7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действующее место размещения нестационарного торгового объекта – место фактического размещения нестационарного торгового объекта, право на размещение которого предоставлено субъекту торговли в порядке, установленном законодательством Российской Федерации и законодательством Свердловской области;</w:t>
      </w:r>
    </w:p>
    <w:p w14:paraId="0F2AAB9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хозяйствующий субъект - коммерческая организация, некоммерческая организация, индивидуальный предприниматель, физическое лицо, не являющееся индивидуальным предпринимателем и применяющее специальный налоговый режим "Налог на профессиональный доход", в течение срока проведения эксперимента, установленного Федеральным законом от 27 ноября 2018 года N 422-ФЗ "О проведении эксперимента по установлению специального налогового режима "Налог на профессиональный доход", осуществляющие деятельность, приносящую доход;</w:t>
      </w:r>
    </w:p>
    <w:p w14:paraId="73061D91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участники торгов на право заключения договора, предусматривающего размещение нестационарного торгового объекта, - хозяйствующие субъекты, подавшие заявки на участие в торгах;</w:t>
      </w:r>
    </w:p>
    <w:p w14:paraId="4CA92FB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специализация нестационарного торгового объекта – торговая деятельность, при которой 80% и более от всех предлагаемых к продаже товаров от их общего количества составляют товары одной группы, в том числе мясо и мясная продукция, молоко и молочная продукция, хлеб, хлебобулочные и кондитерские изделия, рыба и морепродукты, непродовольственные товары, цветы и другие растения, овощи и фрукты, горячие и прохладительные напитки, мороженое, за исключением специализаций нестационарного торгового объекта «Печатная продукция», «Вода», «Продовольственные товары»;</w:t>
      </w:r>
    </w:p>
    <w:p w14:paraId="1198A35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специализация нестационарного торгового объекта «Печатная продукция» – торговая деятельность, при которой 60% и более всех предлагаемых к продаже товаров от их общего количества составляет печатная продукция, включая периодические печатные издания;</w:t>
      </w:r>
    </w:p>
    <w:p w14:paraId="27BF70B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специализация нестационарного торгового объекта «Вода» – торговая деятельность, при которой 100% всех предлагаемых к продаже товаров составляют питьевая вода и тара под нее;</w:t>
      </w:r>
    </w:p>
    <w:p w14:paraId="7652E43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специализация нестационарного торгового объекта «Продовольственные товары» – торговая деятельность, при которой 80% и более всех предлагаемых к продаже товаров от их общего количества составляют продукты в натуральном или переработанном виде, </w:t>
      </w:r>
      <w:r>
        <w:rPr>
          <w:rFonts w:ascii="Liberation Serif" w:hAnsi="Liberation Serif" w:cs="Times New Roman"/>
          <w:sz w:val="24"/>
          <w:szCs w:val="24"/>
        </w:rPr>
        <w:lastRenderedPageBreak/>
        <w:t>находящиеся в обороте и употребляемые человеком в пищу (в том числе продукты детского питания, продукты диетического питания), бутилированная питьевая вода, безалкогольные напитки, жевательная резинка, пищевые добавки.</w:t>
      </w:r>
    </w:p>
    <w:p w14:paraId="650A928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 нестационарным торговым объектам, включаемым в Схему размещения, относятся:</w:t>
      </w:r>
    </w:p>
    <w:p w14:paraId="61A4693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нестационарные торговые объекты постоянного размещения:</w:t>
      </w:r>
    </w:p>
    <w:p w14:paraId="7B65157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торговый павильон –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 рассчитанное на одно или несколько рабочих мест продавцов (торговый павильон может иметь помещения для хранения товарного запаса);</w:t>
      </w:r>
    </w:p>
    <w:p w14:paraId="6FF5F9D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киоск –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осуществляется хранение товарного запаса;</w:t>
      </w:r>
    </w:p>
    <w:p w14:paraId="4A7F2F3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торговая галерея – нестационарный торговый объект, выполненный в едином архитектурном стиле, состоящий из совокупности, но не более пяти (в одном ряду), специализированных торговых павильонов или киосков, симметрично расположенных напротив друг друга, обеспечивающих беспрепятственный проход для покупателей и объединенных под единой временной светопрозрачной кровлей, не несущей теплоизоляционную функцию;</w:t>
      </w:r>
    </w:p>
    <w:p w14:paraId="0C43E13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торговый автомат (вендинговый автомат) – нестационарный торговый объект, представляющий собой техническое устройство, предназначенное для автоматизации процессов продажи, оплаты и выдачи штучных товаров в потребительской упаковке в месте нахождения технического устройства без участия продавца;</w:t>
      </w:r>
    </w:p>
    <w:p w14:paraId="2323112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торговая палатка –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14:paraId="1356FFA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нестационарные торговые объекты временного размещения:</w:t>
      </w:r>
    </w:p>
    <w:p w14:paraId="0B99AF3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бахчевой</w:t>
      </w:r>
      <w:r>
        <w:rPr>
          <w:rFonts w:cs="Times New Roman"/>
          <w:sz w:val="24"/>
          <w:szCs w:val="24"/>
        </w:rPr>
        <w:t xml:space="preserve"> р</w:t>
      </w:r>
      <w:r>
        <w:rPr>
          <w:rFonts w:ascii="Liberation Serif" w:hAnsi="Liberation Serif" w:cs="Times New Roman"/>
          <w:sz w:val="24"/>
          <w:szCs w:val="24"/>
        </w:rPr>
        <w:t>азвал –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 продажи сезонных бахчевых культур;</w:t>
      </w:r>
    </w:p>
    <w:p w14:paraId="21E4724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елочный базар –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14:paraId="5400F3B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нестационарная торговая конструкция – нестационарный торговый объект временного размещения сроком до 180 дней в году, представляющий собой легко устанавливаемое оборудование либо легко устанавливаемую сборно-разборную конструкцию, рассчитанный на одно рабочее место и предназначенный для торговли жидкими товарами в розлив либо для продажи штучных товаров в потребительской упаковке;</w:t>
      </w:r>
    </w:p>
    <w:p w14:paraId="4391CEB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передвижные (мобильные) нестационарные торговые объекты:</w:t>
      </w:r>
    </w:p>
    <w:p w14:paraId="4BB39D7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автомагазин</w:t>
      </w:r>
      <w:r>
        <w:rPr>
          <w:rFonts w:cs="Times New Roman"/>
          <w:sz w:val="24"/>
          <w:szCs w:val="24"/>
        </w:rPr>
        <w:t xml:space="preserve"> (т</w:t>
      </w:r>
      <w:r>
        <w:rPr>
          <w:rFonts w:ascii="Liberation Serif" w:hAnsi="Liberation Serif" w:cs="Times New Roman"/>
          <w:sz w:val="24"/>
          <w:szCs w:val="24"/>
        </w:rPr>
        <w:t>орговый автофургон, автолавка) –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 при условии образования в результате его остановки (или установки) одного или нескольких рабочих мест продавцов, на котором (которых) осуществляется предложение товаров, их отпуск и расчет с покупателями;</w:t>
      </w:r>
    </w:p>
    <w:p w14:paraId="44ACC26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автоцистерна –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 и предназначенную для осуществления развозной торговли жидкими товарами в розлив (квасом и иными товарами), живой рыбой и другими гидробионтами (ракообразными, моллюсками и иными).</w:t>
      </w:r>
    </w:p>
    <w:p w14:paraId="32AB0A5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1.5. Требования, предусмотренные настоящими Условиями, распространяются на подготовку, разработку, утверждение, а также внесение изменений и дополнений в Схему размещения на земельных участках муниципальной собственности, а также земельных участках, собственность на которые не разграничена, в зданиях, строениях, сооружениях, находящихся в муниципальной собственности.</w:t>
      </w:r>
    </w:p>
    <w:p w14:paraId="66B971E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1.6. Администрация городского округа Красноуфимск вправе утвердить номенклатуру специализаций нестационарных торговых объектов, минимальный ассортиментный перечень и номенклатуру дополнительных групп товаров в соответствии со специализацией нестационарных торговых объектов.</w:t>
      </w:r>
    </w:p>
    <w:p w14:paraId="73541FE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1.7. Размещение нестационарного торгового объекта осуществляется в соответствии со Схемой размещения.</w:t>
      </w:r>
    </w:p>
    <w:p w14:paraId="7D59EC5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Размещение нестационарных торговых объектов осуществляется органами местного самоуправления городского округа Красноуфимск и субъектами торговли.</w:t>
      </w:r>
    </w:p>
    <w:p w14:paraId="7DCBA6D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Торговая деятельность в нестационарных торговых объектах, размещение которых предусмотрено Схемой размещения, осуществляется:</w:t>
      </w:r>
    </w:p>
    <w:p w14:paraId="08CC174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нестационарных торговых объектах, принадлежащих городскому округу Красноуфимск, размещаемых органами местного самоуправления городского округа Красноуфимск, на основании договора на осуществление торговой деятельности в нестационарном торговом объекте;</w:t>
      </w:r>
    </w:p>
    <w:p w14:paraId="18A5561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нестационарных торговых объектах, принадлежащих субъектам торговли и размещаемых субъектами торговли, на основании договора, предусматривающего размещение нестационарного торгового объекта.</w:t>
      </w:r>
    </w:p>
    <w:p w14:paraId="19E531D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1.8. Требования, предусмотренные данными Условиями, не распространяются на отношения, связанные с размещением нестационарных торговых объектов, находящихся на территориях розничных рынков и ярмарках, а также проведением праздничных и иных массовых мероприятий, имеющих краткосрочный характер, или осуществлением разносной торговли.</w:t>
      </w:r>
    </w:p>
    <w:p w14:paraId="08B4B08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1.9. Настоящие Условия не регулирует размещение и использование нестационарных торговых объектов на земельных участках, находящихся в частной собственности. Порядок такого размещения устанавливается собственником земельного участка с учетом требований, определенных законодательством Российской Федерации.</w:t>
      </w:r>
    </w:p>
    <w:p w14:paraId="16E5458C" w14:textId="77777777" w:rsidR="00420E38" w:rsidRDefault="00420E38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14:paraId="74A9D42A" w14:textId="77777777" w:rsidR="00420E38" w:rsidRDefault="00371FCE">
      <w:pPr>
        <w:pStyle w:val="ConsPlusNormal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Глава 2.</w:t>
      </w:r>
      <w:r>
        <w:rPr>
          <w:rFonts w:ascii="Liberation Serif" w:hAnsi="Liberation Serif" w:cs="Times New Roman"/>
          <w:sz w:val="24"/>
          <w:szCs w:val="24"/>
        </w:rPr>
        <w:t xml:space="preserve">  </w:t>
      </w:r>
      <w:r>
        <w:rPr>
          <w:rFonts w:ascii="Liberation Serif" w:hAnsi="Liberation Serif" w:cs="Times New Roman"/>
          <w:b/>
          <w:sz w:val="24"/>
          <w:szCs w:val="24"/>
        </w:rPr>
        <w:t>ПОРЯДОК РАЗРАБОТКИ И УТВЕРЖДЕНИЯ</w:t>
      </w:r>
    </w:p>
    <w:p w14:paraId="323D33F6" w14:textId="77777777" w:rsidR="00420E38" w:rsidRDefault="00371FC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СХЕМЫ РАЗМЕЩЕНИЯ НЕСТАЦИОНАРНЫХ ТОРГОВЫХ ОБЪЕКТОВ</w:t>
      </w:r>
    </w:p>
    <w:p w14:paraId="70FF4300" w14:textId="77777777" w:rsidR="00420E38" w:rsidRDefault="00420E38">
      <w:pPr>
        <w:pStyle w:val="ConsPlusTitle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</w:p>
    <w:p w14:paraId="0BBA40A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2.1. Подготовка Схемы размещения осуществляется одновременно применительно к отдельным населенным пунктам, входящим в состав городского округа Красноуфимск.</w:t>
      </w:r>
    </w:p>
    <w:p w14:paraId="034EFEA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2.2. Утверждение Схемы размещения, внесение в нее изменений и дополнений не является основанием для пересмотра мест размещения нестационарных торговых объектов, строительство, реконструкция или эксплуатация которых были начаты и продолжаются на момент утверждения указанной Схемы размещения.</w:t>
      </w:r>
    </w:p>
    <w:p w14:paraId="088BA75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2.3. Подготовка Схемы размещения должна осуществляться также применительно к отдельным территориям, расположенным вне границ населенных пунктов:</w:t>
      </w:r>
    </w:p>
    <w:p w14:paraId="70A0165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промышленным зонам;</w:t>
      </w:r>
    </w:p>
    <w:p w14:paraId="4886E97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зонам остановок общественного транспорта и предоставления услуг дорожного сервиса на автомобильных дорогах местного значения.</w:t>
      </w:r>
    </w:p>
    <w:p w14:paraId="7AB8006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2.4. Схема размещения представляет собой документ, определяющий действующие и перспективные места размещения нестационарных торговых объектов, содержит следующие сведения:</w:t>
      </w:r>
    </w:p>
    <w:p w14:paraId="7FF45EC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 местонахождение нестационарного торгового объекта (адресные ориентиры места размещения нестационарного торгового объекта);</w:t>
      </w:r>
    </w:p>
    <w:p w14:paraId="5CE435A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 специализация нестационарного торгового объекта;</w:t>
      </w:r>
    </w:p>
    <w:p w14:paraId="39EC422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3) тип нестационарного торгового объекта;</w:t>
      </w:r>
    </w:p>
    <w:p w14:paraId="37B1D7B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 площадь места размещения нестационарного торгового объекта;</w:t>
      </w:r>
    </w:p>
    <w:p w14:paraId="3CAE28C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 принадлежность субъекта торговли, который осуществляет использование нестационарного торгового объекта, определенная в соответствии с пунктом 2.8.  настоящей главы;</w:t>
      </w:r>
    </w:p>
    <w:p w14:paraId="005F403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6) период использования места размещения нестационарного торгового объекта (сезонное, круглогодичное);</w:t>
      </w:r>
    </w:p>
    <w:p w14:paraId="612E993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7) информация о собственнике земельного участка, здания, строения, сооружения, на (в) котором расположен нестационарный торговый объект;</w:t>
      </w:r>
    </w:p>
    <w:p w14:paraId="53B82DF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8) статус места размещения (действующее, перспективное) нестационарного торгового объекта;</w:t>
      </w:r>
    </w:p>
    <w:p w14:paraId="5BC84F4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9) информация о собственнике нестационарного торгового объекта (муниципальное образование, субъект торговли);</w:t>
      </w:r>
    </w:p>
    <w:p w14:paraId="2E96E60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10) учетный номер места размещения нестационарного торгового объекта (при наличии).</w:t>
      </w:r>
    </w:p>
    <w:p w14:paraId="6E03AF6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Times New Roman"/>
          <w:sz w:val="24"/>
          <w:szCs w:val="24"/>
        </w:rPr>
        <w:t>Адресные ориентиры места размещения нестационарного торгового объекта могут быть дополнены органом местного самоуправления городского округа Красноуфимск информацией о точном местонахождении нестационарного торгового объекта путем указания координат или подготовки графической схемы</w:t>
      </w:r>
      <w:r>
        <w:rPr>
          <w:rFonts w:ascii="Liberation Serif" w:hAnsi="Liberation Serif" w:cs="Liberation Serif"/>
          <w:sz w:val="24"/>
          <w:szCs w:val="24"/>
          <w:lang w:eastAsia="en-US"/>
        </w:rPr>
        <w:t>.</w:t>
      </w:r>
    </w:p>
    <w:p w14:paraId="1E6DBF5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2.5. При осуществлении торговой деятельности в нестационарных торговых объектах должна соблюдаться специализация нестационарного торгового объекта, сведения о которой включены в Схему размещения.</w:t>
      </w:r>
    </w:p>
    <w:p w14:paraId="735339C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2.6. Период размещения для нестационарных торговых объектов может устанавливаться в Схеме размещения:</w:t>
      </w:r>
    </w:p>
    <w:p w14:paraId="5ADDB109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1) для мест размещения </w:t>
      </w:r>
      <w:r>
        <w:rPr>
          <w:rFonts w:ascii="Liberation Serif" w:hAnsi="Liberation Serif" w:cs="Liberation Serif"/>
          <w:sz w:val="24"/>
          <w:szCs w:val="24"/>
        </w:rPr>
        <w:t>нестационарных торговых объектов постоянного размещения и передвижных (мобильных) нестационарных торговых объектов - круглогодичный;</w:t>
      </w:r>
    </w:p>
    <w:p w14:paraId="05DD836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2)  для мест размещения НТО временного размещения -сезонный. </w:t>
      </w:r>
    </w:p>
    <w:p w14:paraId="1E06FE2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2.7. При разработке Схемы размещения следует руководствоваться следующими требованиями:</w:t>
      </w:r>
    </w:p>
    <w:p w14:paraId="0D51020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 нестационарные торговые объекты должны размещаться с учетом требований законодательства Российской Федерации, законодательства Свердловской области и правовых актов органов местного самоуправления городского округа Красноуфимск, а также с учетом обеспечения доступа потребителей к объектам торговли, в том числе безбарьерной среды жизнедеятельности для инвалидов и иных маломобильных групп населения, беспрепятственного подъезда спецтранспорта при чрезвычайных ситуациях, соблюдением пожарных и санитарных требований;</w:t>
      </w:r>
    </w:p>
    <w:p w14:paraId="77C86511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 схема размещения не должна предусматривать размещение нестационарных торговых объектов:</w:t>
      </w:r>
    </w:p>
    <w:p w14:paraId="5DDA2DC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местах, не соответствующих требованиям законодательства Российской Федерации и законодательства Свердловской области, а также правовых актов органов местного самоуправления городского округа Красноуфимск;</w:t>
      </w:r>
    </w:p>
    <w:p w14:paraId="161B9EE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газонах, цветниках, площадках (детских, отдыха, спортивных) на расстоянии менее 5 метров от окон зданий и витрин стационарных торговых объектов;</w:t>
      </w:r>
    </w:p>
    <w:p w14:paraId="3CAB31A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остановочных пунктах городского транспорта общего пользования;</w:t>
      </w:r>
    </w:p>
    <w:p w14:paraId="0E9C763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земельных участках, зарезервированных для государственных или муниципальных нужд либо изъятых из оборота или ограниченных в  обороте в  соответствии с законодательством Российской Федерации;</w:t>
      </w:r>
    </w:p>
    <w:p w14:paraId="236FC55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 границах территорий объектов культурного наследия, за исключением границ территорий достопримечательных мест,  в случае если в соответствии с требованиями к градостроительным регламентам и режимами использования земель данных территорий размещение нестационарных торговых объектов запрещено; в границах зон охраны объектов культурного наследия, в случае если в соответствии с требованиями к градостроительным </w:t>
      </w:r>
      <w:r>
        <w:rPr>
          <w:rFonts w:ascii="Liberation Serif" w:hAnsi="Liberation Serif" w:cs="Times New Roman"/>
          <w:sz w:val="24"/>
          <w:szCs w:val="24"/>
        </w:rPr>
        <w:lastRenderedPageBreak/>
        <w:t>регламентам и режимами использования земель данных зон охраны размещение нестационарных торговых объектов запрещено;</w:t>
      </w:r>
    </w:p>
    <w:p w14:paraId="11F27EA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месте, не обеспечивающем безопасность дорожного движения, в том числе в пределах треугольников видимости нерегулируемых пешеходных переходов, перекрестков и примыканий улиц и дорог;</w:t>
      </w:r>
    </w:p>
    <w:p w14:paraId="1EF0F98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тротуарах, в случае если свободная ширина прохода от крайних элементов нестационарного торгового объекта до края проезжей части, а также границ парковочной разметки автотранспорта, опор конструкций, стволов деревьев, других отдельно стоящих выступающих элементов, включая здания, строения, сооружения, не позволяет обеспечить беспрепятственное пешеходное движение в соответствии с установленными требованиями (СП 42.13330.2016 «Свод правил. Градостроительство. Планировка и застройка городских и сельских поселений. Актуализированная редакция СНиП 2.07.01-89*»);</w:t>
      </w:r>
    </w:p>
    <w:p w14:paraId="1DA0658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земельном участке, обремененном правами третьих лиц, или в месте, в отношении которого заключен договор, предусматривающий размещение нестационарного торгового объекта.</w:t>
      </w:r>
    </w:p>
    <w:p w14:paraId="2D632D6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2.8. Схема размещения нестационарных торговых объектов должна предусматривать:</w:t>
      </w:r>
    </w:p>
    <w:p w14:paraId="50D1A7F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1" w:name="Par1"/>
      <w:bookmarkEnd w:id="1"/>
      <w:r>
        <w:rPr>
          <w:rFonts w:ascii="Liberation Serif" w:hAnsi="Liberation Serif" w:cs="Times New Roman"/>
          <w:sz w:val="24"/>
          <w:szCs w:val="24"/>
        </w:rPr>
        <w:t>1) размещение не менее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объектов;</w:t>
      </w:r>
    </w:p>
    <w:p w14:paraId="162505D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размещение нестационарных торговых объектов, используемых производителями сельскохозяйственной продукции (юридическими лицами, индивидуальными предпринимателями), а также гражданами (в том числе главами крестьянских (фермерских) хозяйств, членами таких хозяйств, гражданами, ведущими личное подсобное хозяйство или занимающимися садоводством, огородничеством, животноводством) для реализации продукции собственного производства.</w:t>
      </w:r>
    </w:p>
    <w:p w14:paraId="255D1C6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2.9. Положение </w:t>
      </w:r>
      <w:hyperlink w:anchor="Par1">
        <w:r>
          <w:rPr>
            <w:rFonts w:ascii="Liberation Serif" w:hAnsi="Liberation Serif" w:cs="Times New Roman"/>
            <w:sz w:val="24"/>
            <w:szCs w:val="24"/>
          </w:rPr>
          <w:t>подпункта 1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пункта 2.8. настоящих Условий применяется в отношении физических лиц, не являющихся индивидуальными предпринимателями и применяющих специальный налоговый режим "Налог на профессиональный доход", в течение срока проведения эксперимента, установленного Федеральным </w:t>
      </w:r>
      <w:hyperlink r:id="rId10">
        <w:r>
          <w:rPr>
            <w:rFonts w:ascii="Liberation Serif" w:hAnsi="Liberation Serif" w:cs="Times New Roman"/>
            <w:sz w:val="24"/>
            <w:szCs w:val="24"/>
          </w:rPr>
          <w:t>законом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доход".</w:t>
      </w:r>
    </w:p>
    <w:p w14:paraId="0016C64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2.10. Схема размещения основывается на:</w:t>
      </w:r>
    </w:p>
    <w:p w14:paraId="04C244A1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анализе и характеристике текущего состояния развития инфраструктуры розничной нестационарной торговли, в том числе на результатах инвентаризации существующих нестационарных торговых объектов и мест их размещения;</w:t>
      </w:r>
    </w:p>
    <w:p w14:paraId="2BCF810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оценке достижения минимального уровня обеспеченности населения площадью нестационарных торговых объектов, обеспечения территориальной доступности торговых объектов для населения, обеспечения населения торговыми услугами в местах отдыха и проведения досуга.</w:t>
      </w:r>
    </w:p>
    <w:p w14:paraId="52949A1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2.11. Инвентаризация существующих нестационарных торговых объектов и мест их размещения проводится по инициативе органов местного самоуправления городского округа Красноуфимск при разработке Схемы размещения и (или) при внесении изменений в Схему размещения.</w:t>
      </w:r>
    </w:p>
    <w:p w14:paraId="29E8116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Итоги проведенной инвентаризации размещаются на официальном сайте Администрации городского округа Красноуфимск в информационно-телекоммуникационной сети "Интернет".</w:t>
      </w:r>
    </w:p>
    <w:p w14:paraId="46EFE32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2.12. Схема размещения разрабатывается Управлением экономического развития Администрации городского округа Красноуфимск, утверждается постановлением Администрации городского округа Красноуфимск и действует бессрочно.</w:t>
      </w:r>
    </w:p>
    <w:p w14:paraId="7BEAF183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2.13. Утвержденная Схема размещения подлежит опубликованию </w:t>
      </w:r>
      <w:r>
        <w:rPr>
          <w:rFonts w:ascii="Liberation Serif" w:hAnsi="Liberation Serif" w:cs="Times New Roman"/>
          <w:iCs/>
          <w:sz w:val="24"/>
          <w:szCs w:val="24"/>
        </w:rPr>
        <w:t>в официальном периодическом печатном издании «Вестник городского округа Красноуфимск»</w:t>
      </w:r>
      <w:r>
        <w:rPr>
          <w:rFonts w:ascii="Liberation Serif" w:hAnsi="Liberation Serif" w:cs="Times New Roman"/>
          <w:sz w:val="24"/>
          <w:szCs w:val="24"/>
        </w:rPr>
        <w:t xml:space="preserve"> и размещению </w:t>
      </w:r>
      <w:r>
        <w:rPr>
          <w:rFonts w:ascii="Liberation Serif" w:hAnsi="Liberation Serif" w:cs="Times New Roman"/>
          <w:sz w:val="24"/>
          <w:szCs w:val="24"/>
        </w:rPr>
        <w:lastRenderedPageBreak/>
        <w:t>на официальном сайте Администрации городского округа Красноуфимск в 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сети «Интернет».</w:t>
      </w:r>
    </w:p>
    <w:p w14:paraId="7F40295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2.14. Внесение изменений и дополнений в Схему размещения осуществляется Управлением экономического развития Администрации городского округа Красноуфимск по мере необходимости по основаниям, указанным в пункте 2.28. настоящих Условий и в соответствии с требованиями, установленными настоящей главой.</w:t>
      </w:r>
    </w:p>
    <w:p w14:paraId="5B7E1D0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2.15. Разработка Схемы размещения включает в себя следующие основные этапы:</w:t>
      </w:r>
    </w:p>
    <w:p w14:paraId="102BB71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принятие Администрацией городского округа Красноуфимск решения о разработке Схемы размещения;</w:t>
      </w:r>
    </w:p>
    <w:p w14:paraId="781A926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сбор предложений о размещении мест нестационарной торговли и торговых объектов местного значения от населения и субъектов предпринимательской деятельности, иных заинтересованных лиц, при необходимости возможно проведение общественных слушаний в установленном законодательством Российской Федерации и Свердловской области порядке;</w:t>
      </w:r>
    </w:p>
    <w:p w14:paraId="2E6FCFC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согласование с федеральным органом исполнительной власти или исполнительным органом государственной власти Свердловской области, являющимся уполномоченным органом по управлению государственным имуществом Свердловской области, включения в Схему размещения нестационарных торговых объектов, расположенных на земельных участках, находящихся в государственной собственности (в федеральной собственности или в собственности Свердловской области);</w:t>
      </w:r>
    </w:p>
    <w:p w14:paraId="128345C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 разработка проекта Схемы размещения;</w:t>
      </w:r>
    </w:p>
    <w:p w14:paraId="5118FBD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 утверждение Схемы размещения;</w:t>
      </w:r>
    </w:p>
    <w:p w14:paraId="468286C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6) опубликование Схемы размещения.</w:t>
      </w:r>
    </w:p>
    <w:p w14:paraId="18795D0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2.16. Решение о разработке Схемы размещения принимается в форме правового акта Администрации городского округа Красноуфимск.</w:t>
      </w:r>
    </w:p>
    <w:p w14:paraId="02F3B6F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2.17. Решение о разработке Схемы размещения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городского округа Красноуфимск в информационно-телекоммуникационной сети "Интернет".</w:t>
      </w:r>
    </w:p>
    <w:p w14:paraId="5ABF8D4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2.18. Решение о разработке Схемы размещения в течение пяти дней со дня его принятия направляется в Министерство агропромышленного комплекса и потребительского рынка Свердловской области для размещения на официальном сайте Министерства агропромышленного комплекса и потребительского рынка Свердловской области в информационно-телекоммуникационной сети "Интернет".</w:t>
      </w:r>
    </w:p>
    <w:p w14:paraId="019CC62E" w14:textId="4BDC4383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2.1</w:t>
      </w:r>
      <w:r w:rsidR="00563588">
        <w:rPr>
          <w:rFonts w:ascii="Liberation Serif" w:hAnsi="Liberation Serif" w:cs="Times New Roman"/>
          <w:sz w:val="24"/>
          <w:szCs w:val="24"/>
        </w:rPr>
        <w:t>9</w:t>
      </w:r>
      <w:r>
        <w:rPr>
          <w:rFonts w:ascii="Liberation Serif" w:hAnsi="Liberation Serif" w:cs="Times New Roman"/>
          <w:sz w:val="24"/>
          <w:szCs w:val="24"/>
        </w:rPr>
        <w:t>. После опубликования решения  Администрации городского округа Красноуфимск о разработке Схемы размещения физические или юридические лица, некоммерческие организации, объединяющие хозяйствующих субъектов, осуществляющих торговую деятельность, иные заинтересованные лица вправе представить в Администрацию городского округа Красноуфимск предложения о развитии сети нестационарных торговых объектов в части включения в Схему размещения мест размещения нестационарных торговых объектов, типов нестационарных торговых объектов (далее - предложения о развитии сети нестационарных торговых объектов) в течение двух месяцев с даты опубликования указанного решения.</w:t>
      </w:r>
    </w:p>
    <w:p w14:paraId="766B78D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Администрация городского округа Красноуфимск по окончании срока представления предложений о развитии сети нестационарных торговых объектов принимает решение о включении либо об отказе во включении в Схему размещения мест размещения нестационарных торговых объектов, типов нестационарных торговых объектов.</w:t>
      </w:r>
    </w:p>
    <w:p w14:paraId="1408082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Письменное уведомление о принятом решении направляется заявителю в соответствии с требованиями законодательства Российской Федерации и Свердловской области в срок не позднее 15 рабочих дней со дня окончания срока представления предложений о развитии сети нестационарных торговых объектов.</w:t>
      </w:r>
    </w:p>
    <w:p w14:paraId="132CC391" w14:textId="12D05F4B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</w:t>
      </w:r>
      <w:r w:rsidR="00563588">
        <w:rPr>
          <w:rFonts w:ascii="Liberation Serif" w:hAnsi="Liberation Serif" w:cs="Times New Roman"/>
          <w:sz w:val="24"/>
          <w:szCs w:val="24"/>
        </w:rPr>
        <w:t>20</w:t>
      </w:r>
      <w:r>
        <w:rPr>
          <w:rFonts w:ascii="Liberation Serif" w:hAnsi="Liberation Serif" w:cs="Times New Roman"/>
          <w:sz w:val="24"/>
          <w:szCs w:val="24"/>
        </w:rPr>
        <w:t xml:space="preserve">.Основанием для отказа во включении места размещения нестационарного </w:t>
      </w:r>
      <w:r>
        <w:rPr>
          <w:rFonts w:ascii="Liberation Serif" w:hAnsi="Liberation Serif" w:cs="Times New Roman"/>
          <w:sz w:val="24"/>
          <w:szCs w:val="24"/>
        </w:rPr>
        <w:lastRenderedPageBreak/>
        <w:t xml:space="preserve">торгового объекта в Схему размещения по предложению о развитии сети нестационарных торговых объектов заинтересованного лица является несоответствие требованиям, указанным в пункте 2.7. настоящих Условий и целям, указанным в </w:t>
      </w:r>
      <w:hyperlink r:id="rId11">
        <w:r>
          <w:rPr>
            <w:rFonts w:ascii="Liberation Serif" w:hAnsi="Liberation Serif" w:cs="Times New Roman"/>
            <w:sz w:val="24"/>
            <w:szCs w:val="24"/>
          </w:rPr>
          <w:t>пункте 1.3</w:t>
        </w:r>
      </w:hyperlink>
      <w:r>
        <w:rPr>
          <w:rFonts w:ascii="Liberation Serif" w:hAnsi="Liberation Serif" w:cs="Times New Roman"/>
          <w:sz w:val="24"/>
          <w:szCs w:val="24"/>
        </w:rPr>
        <w:t>. настоящих Условий. В случае отказа во включении в Схему размещения указываются соответствующие основания отказа.</w:t>
      </w:r>
    </w:p>
    <w:p w14:paraId="37574288" w14:textId="7BAE8398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2" w:name="Par20"/>
      <w:bookmarkEnd w:id="2"/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1</w:t>
      </w:r>
      <w:r>
        <w:rPr>
          <w:rFonts w:ascii="Liberation Serif" w:hAnsi="Liberation Serif" w:cs="Times New Roman"/>
          <w:sz w:val="24"/>
          <w:szCs w:val="24"/>
        </w:rPr>
        <w:t>.  Предложение о развитии сети нестационарных торговых объектов оформляется в форме предложения о включении мест размещения нестационарных торговых объектов в Схему размещения.</w:t>
      </w:r>
    </w:p>
    <w:p w14:paraId="29A01F5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Не допускается требовать от заявителей иное, за исключением предложения, указанного в </w:t>
      </w:r>
      <w:hyperlink w:anchor="Par20">
        <w:r>
          <w:rPr>
            <w:rFonts w:ascii="Liberation Serif" w:hAnsi="Liberation Serif" w:cs="Times New Roman"/>
            <w:sz w:val="24"/>
            <w:szCs w:val="24"/>
          </w:rPr>
          <w:t>части первой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настоящего пункта.</w:t>
      </w:r>
    </w:p>
    <w:p w14:paraId="7EE02951" w14:textId="74B01A6E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2</w:t>
      </w:r>
      <w:r>
        <w:rPr>
          <w:rFonts w:ascii="Liberation Serif" w:hAnsi="Liberation Serif" w:cs="Times New Roman"/>
          <w:sz w:val="24"/>
          <w:szCs w:val="24"/>
        </w:rPr>
        <w:t xml:space="preserve">. Согласование с федеральным органом исполнительной власти или исполнительным органом государственной власти Свердловской области, являющимся уполномоченным органом по управлению государственным имуществом, включения нестационарных торговых объектов, расположенных на земельных участках, находящихся в государственной собственности (в федеральной собственности или в собственности Свердловской области), осуществляется в соответствии с </w:t>
      </w:r>
      <w:hyperlink r:id="rId12">
        <w:r>
          <w:rPr>
            <w:rFonts w:ascii="Liberation Serif" w:hAnsi="Liberation Serif" w:cs="Times New Roman"/>
            <w:sz w:val="24"/>
            <w:szCs w:val="24"/>
          </w:rPr>
          <w:t>Правилами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объектов".</w:t>
      </w:r>
    </w:p>
    <w:p w14:paraId="789E1643" w14:textId="5DDE0509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3</w:t>
      </w:r>
      <w:r>
        <w:rPr>
          <w:rFonts w:ascii="Liberation Serif" w:hAnsi="Liberation Serif" w:cs="Times New Roman"/>
          <w:sz w:val="24"/>
          <w:szCs w:val="24"/>
        </w:rPr>
        <w:t>. Утвержденная Схема размещения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городского округа Красноуфимск в информационно-телекоммуникационной сети "Интернет".</w:t>
      </w:r>
    </w:p>
    <w:p w14:paraId="63C902B2" w14:textId="6612F235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4</w:t>
      </w:r>
      <w:r>
        <w:rPr>
          <w:rFonts w:ascii="Liberation Serif" w:hAnsi="Liberation Serif" w:cs="Times New Roman"/>
          <w:sz w:val="24"/>
          <w:szCs w:val="24"/>
        </w:rPr>
        <w:t>. Утвержденная Схема размещения в течение пяти дней со дня ее принятия направляется в Министерство агропромышленного комплекса и потребительского рынка Свердловской области для размещения на официальном сайте Министерства агропромышленного комплекса и потребительского рынка Свердловской области в информационно-телекоммуникационной сети "Интернет".</w:t>
      </w:r>
    </w:p>
    <w:p w14:paraId="31795855" w14:textId="3B7A5B2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5</w:t>
      </w:r>
      <w:r>
        <w:rPr>
          <w:rFonts w:ascii="Liberation Serif" w:hAnsi="Liberation Serif" w:cs="Times New Roman"/>
          <w:sz w:val="24"/>
          <w:szCs w:val="24"/>
        </w:rPr>
        <w:t>. Внесение изменений и дополнений в Схему размещения включает следующие этапы:</w:t>
      </w:r>
    </w:p>
    <w:p w14:paraId="173E7D6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 рассмотрение органами местного самоуправления городского округа Красноуфимск предложений о включении в Схему размещения мест размещения нестационарных торговых объектов, об изменении сведений о месте размещения нестационарного торгового объекта и (или) нестационарном торговом объекте;</w:t>
      </w:r>
    </w:p>
    <w:p w14:paraId="535DF86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3" w:name="Par179"/>
      <w:bookmarkEnd w:id="3"/>
      <w:r>
        <w:rPr>
          <w:rFonts w:ascii="Liberation Serif" w:hAnsi="Liberation Serif" w:cs="Times New Roman"/>
          <w:sz w:val="24"/>
          <w:szCs w:val="24"/>
        </w:rPr>
        <w:t>2) согласование включения в Схему размещения нестационарных торговых объектов, расположенных на земельных участках, находящихся в государственной собственности,          а также на земельных участках, государственная собственность на которые не разграничена, с федеральным органом исполнительной власти или исполнительным органом государственной власти Свердловской области, осуществляющим полномочия собственника имущества;</w:t>
      </w:r>
    </w:p>
    <w:p w14:paraId="570EE69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 анализ обеспеченности населения муниципального образования городского округа Красноуфимск площадями торговых объектов, проводимый Администрацией городского округа Красноуфимск в целях определения потребности в восполнении недостатка торговыми площадями;</w:t>
      </w:r>
    </w:p>
    <w:p w14:paraId="71B1665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 разработка проекта изменений и дополнений в Схему размещения;</w:t>
      </w:r>
    </w:p>
    <w:p w14:paraId="3DB084A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 утверждение изменений и дополнений в Схему размещения правовым актом Администрации городского округа Красноуфимск;</w:t>
      </w:r>
    </w:p>
    <w:p w14:paraId="37DED5F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4" w:name="Par182"/>
      <w:bookmarkEnd w:id="4"/>
      <w:r>
        <w:rPr>
          <w:rFonts w:ascii="Liberation Serif" w:hAnsi="Liberation Serif" w:cs="Times New Roman"/>
          <w:sz w:val="24"/>
          <w:szCs w:val="24"/>
        </w:rPr>
        <w:t xml:space="preserve">6) опубликование утвержденных изменений и дополнений в Схему размещения в порядке, установленном для официального опубликования Схемы размещения, а также их </w:t>
      </w:r>
      <w:r>
        <w:rPr>
          <w:rFonts w:ascii="Liberation Serif" w:hAnsi="Liberation Serif" w:cs="Times New Roman"/>
          <w:sz w:val="24"/>
          <w:szCs w:val="24"/>
        </w:rPr>
        <w:lastRenderedPageBreak/>
        <w:t>размещение на официальных сайтах Министерства агропромышленного комплекса и потребительского рынка Свердловской области и Администрации городского округа Красноуфимск в информационно-телекоммуникационной сети «Интернет».</w:t>
      </w:r>
    </w:p>
    <w:p w14:paraId="7AC31488" w14:textId="24114093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6</w:t>
      </w:r>
      <w:r>
        <w:rPr>
          <w:rFonts w:ascii="Liberation Serif" w:hAnsi="Liberation Serif" w:cs="Times New Roman"/>
          <w:sz w:val="24"/>
          <w:szCs w:val="24"/>
        </w:rPr>
        <w:t>. Срок рассмотрения предложений от населения, хозяйствующих субъектов, иных заинтересованных лиц (с принятием решения о включении или об отказе во включении предложенных мест размещения нестационарных торговых объектов в Схему размещения) не должен превышать 90 календарных дней с даты их регистрации.</w:t>
      </w:r>
    </w:p>
    <w:p w14:paraId="28F7A144" w14:textId="6DD7088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7</w:t>
      </w:r>
      <w:r>
        <w:rPr>
          <w:rFonts w:ascii="Liberation Serif" w:hAnsi="Liberation Serif" w:cs="Times New Roman"/>
          <w:sz w:val="24"/>
          <w:szCs w:val="24"/>
        </w:rPr>
        <w:t>. Рассмотрение предложений от субъектов торговли, которым предоставлено право на размещение нестационарного торгового объекта, об изменении сведений о месте размещения нестационарного торгового объекта и (или) нестационарном торговом объекте осуществляется органами местного самоуправления городского округа Красноуфимск в срок, не превышающий 30 календарных дней с даты регистрации предложения.</w:t>
      </w:r>
    </w:p>
    <w:p w14:paraId="3EF26AEC" w14:textId="57A8A7AC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8</w:t>
      </w:r>
      <w:r>
        <w:rPr>
          <w:rFonts w:ascii="Liberation Serif" w:hAnsi="Liberation Serif" w:cs="Times New Roman"/>
          <w:sz w:val="24"/>
          <w:szCs w:val="24"/>
        </w:rPr>
        <w:t>. Основанием для отказа во внесении изменений и дополнений в Схему размещения по предложению о развитии сети нестационарных торговых объектов заинтересованного лица, в том числе в изменении сведений о месте размещения нестационарного торгового объекта и (или) нестационарном торговом объекте, является несоответствие требованиям, указанным в пункте 2.7.  настоящих Условий, и целям, указанным в пункте 1.3. настоящих Условий.</w:t>
      </w:r>
    </w:p>
    <w:p w14:paraId="74FCA291" w14:textId="25F8E569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5" w:name="Par2"/>
      <w:bookmarkEnd w:id="5"/>
      <w:r>
        <w:rPr>
          <w:rFonts w:ascii="Liberation Serif" w:hAnsi="Liberation Serif" w:cs="Times New Roman"/>
          <w:sz w:val="24"/>
          <w:szCs w:val="24"/>
        </w:rPr>
        <w:t>2.2</w:t>
      </w:r>
      <w:r w:rsidR="00563588">
        <w:rPr>
          <w:rFonts w:ascii="Liberation Serif" w:hAnsi="Liberation Serif" w:cs="Times New Roman"/>
          <w:sz w:val="24"/>
          <w:szCs w:val="24"/>
        </w:rPr>
        <w:t>9</w:t>
      </w:r>
      <w:r>
        <w:rPr>
          <w:rFonts w:ascii="Liberation Serif" w:hAnsi="Liberation Serif" w:cs="Times New Roman"/>
          <w:sz w:val="24"/>
          <w:szCs w:val="24"/>
        </w:rPr>
        <w:t>. Изменения и (или) дополнения в Схему размещения вносятся в следующих случаях:</w:t>
      </w:r>
    </w:p>
    <w:p w14:paraId="1AF595C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 новая застройка отдельных элементов планировочной структуры города, иных элементов;</w:t>
      </w:r>
    </w:p>
    <w:p w14:paraId="5A7FCBE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 ремонт и реконструкция автомобильных дорог;</w:t>
      </w:r>
    </w:p>
    <w:p w14:paraId="73BF651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 восполнение недостатка стационарных торговых объектов при недостижении установленного норматива минимальной обеспеченности населения площадью торговых объектов;</w:t>
      </w:r>
    </w:p>
    <w:p w14:paraId="1096185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 необходимость реализации муниципальных программ, приоритетных направлений деятельности городского округа Красноуфимск в сфере социально-экономического развития;</w:t>
      </w:r>
    </w:p>
    <w:p w14:paraId="692FCA1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 принятие решений о развитии застроенных территорий;</w:t>
      </w:r>
    </w:p>
    <w:p w14:paraId="6968DF6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6) изменение градостроительных регламентов;</w:t>
      </w:r>
    </w:p>
    <w:p w14:paraId="775010D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7) изъятие земельных участков для государственных или муниципальных нужд;</w:t>
      </w:r>
    </w:p>
    <w:p w14:paraId="55A3FE4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8) реализация мероприятий по благоустройству территории городского округа Красноуфимск, в результате которых не предполагается размещение на данной территории нестационарных торговых объектов;</w:t>
      </w:r>
    </w:p>
    <w:p w14:paraId="0F5F87F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9) прекращение деятельности нестационарных торговых объектов;</w:t>
      </w:r>
    </w:p>
    <w:p w14:paraId="5EEF1CB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10) место размещения нестационарного торгового объекта перестало соответствовать требованиям, указанным в пункте 2.7.  настоящих Условий.</w:t>
      </w:r>
    </w:p>
    <w:p w14:paraId="162C7A9C" w14:textId="77777777" w:rsidR="00420E38" w:rsidRDefault="00420E3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43687103" w14:textId="77777777" w:rsidR="00420E38" w:rsidRDefault="00420E3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18C45EBA" w14:textId="77777777" w:rsidR="00420E38" w:rsidRDefault="00371FCE">
      <w:pPr>
        <w:pStyle w:val="ConsPlusNormal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Глава 3.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sz w:val="24"/>
          <w:szCs w:val="24"/>
        </w:rPr>
        <w:t>ОБЩИЕ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sz w:val="24"/>
          <w:szCs w:val="24"/>
        </w:rPr>
        <w:t>ТРЕБОВАНИЯ К РАЗМЕЩЕНИЮ НЕСТАЦИОНАРНЫХ ТОРГОВЫХ ОБЪЕКТОВ</w:t>
      </w:r>
    </w:p>
    <w:p w14:paraId="4072C8DB" w14:textId="77777777" w:rsidR="00420E38" w:rsidRDefault="00420E38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14:paraId="0E9057BF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3.1. Размещение некапитальных нестационарных сооружений на территории городского округа Красноуфимск не должно мешать пешеходному движению, нарушать противопожарные требования, ухудшать санитарно-гигиенические условия проживания населения.</w:t>
      </w:r>
    </w:p>
    <w:p w14:paraId="5282FA3A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3.2. </w:t>
      </w:r>
      <w:r>
        <w:rPr>
          <w:rFonts w:ascii="Liberation Serif" w:hAnsi="Liberation Serif" w:cs="Liberation Serif"/>
          <w:sz w:val="24"/>
          <w:szCs w:val="24"/>
        </w:rPr>
        <w:t>Не допускается включение в Схему размещения сведений о месте размещения нестационарного торгового объекта (далее по тексту - НТО) на земельных участках, в зданиях, строениях, сооружениях, не соответствующих требованиям законодательства Российской Федерации и Свердловской области, а также правовых актов органов местного самоуправления городского округа Красноуфимск.</w:t>
      </w:r>
    </w:p>
    <w:p w14:paraId="05C6539F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3.3. </w:t>
      </w:r>
      <w:r>
        <w:rPr>
          <w:rFonts w:ascii="Liberation Serif" w:hAnsi="Liberation Serif" w:cs="Liberation Serif"/>
          <w:sz w:val="24"/>
          <w:szCs w:val="24"/>
        </w:rPr>
        <w:t xml:space="preserve">Не допускается размещать у НТО (кроме передвижных средств развозной и разносной уличной торговли) столики, зонтики и другие подобные объекты, за исключением </w:t>
      </w:r>
      <w:r>
        <w:rPr>
          <w:rFonts w:ascii="Liberation Serif" w:hAnsi="Liberation Serif" w:cs="Liberation Serif"/>
          <w:sz w:val="24"/>
          <w:szCs w:val="24"/>
        </w:rPr>
        <w:lastRenderedPageBreak/>
        <w:t>случаев, когда размещение подобных объектов предусмотрено типовым архитектурно-художественным решением, либо индивидуальным архитектурно-художественным решением, утвержденным Договором на размещение нестационарных торговых объектов.</w:t>
      </w:r>
    </w:p>
    <w:p w14:paraId="2482B85B" w14:textId="4942C8DC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3.4. Если иное не предусмотрено архитектурно-художественным решением, либо индивидуальным решением, утвержденным Договором на размещение </w:t>
      </w:r>
      <w:r>
        <w:rPr>
          <w:rFonts w:ascii="Liberation Serif" w:hAnsi="Liberation Serif" w:cs="Liberation Serif"/>
        </w:rPr>
        <w:t>нестационарного торгового объекта</w:t>
      </w:r>
      <w:r>
        <w:rPr>
          <w:rFonts w:ascii="Liberation Serif" w:hAnsi="Liberation Serif"/>
        </w:rPr>
        <w:t xml:space="preserve">, </w:t>
      </w:r>
      <w:r w:rsidR="00345498">
        <w:rPr>
          <w:rFonts w:ascii="Liberation Serif" w:hAnsi="Liberation Serif"/>
        </w:rPr>
        <w:t xml:space="preserve">не </w:t>
      </w:r>
      <w:r>
        <w:rPr>
          <w:rFonts w:ascii="Liberation Serif" w:hAnsi="Liberation Serif"/>
        </w:rPr>
        <w:t xml:space="preserve">допускается размещение у </w:t>
      </w:r>
      <w:r>
        <w:rPr>
          <w:rFonts w:ascii="Liberation Serif" w:hAnsi="Liberation Serif" w:cs="Liberation Serif"/>
        </w:rPr>
        <w:t>НТО</w:t>
      </w:r>
      <w:r>
        <w:rPr>
          <w:rFonts w:ascii="Liberation Serif" w:hAnsi="Liberation Serif"/>
        </w:rPr>
        <w:t xml:space="preserve"> выносного холодильного оборудования.</w:t>
      </w:r>
    </w:p>
    <w:p w14:paraId="45E73A5F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3.5. </w:t>
      </w:r>
      <w:r>
        <w:rPr>
          <w:rFonts w:ascii="Liberation Serif" w:hAnsi="Liberation Serif" w:cs="Liberation Serif"/>
        </w:rPr>
        <w:t>Нестационарные торговые объекты</w:t>
      </w:r>
      <w:r>
        <w:rPr>
          <w:rFonts w:ascii="Liberation Serif" w:hAnsi="Liberation Serif"/>
        </w:rPr>
        <w:t>, для которых исходя из их функционального назначения, а также по санитарно-гигиеническим требованиям и нормативам требуется подводка воды и канализации, могут размещаться только вблизи инженерных коммуникаций при наличии технической возможности подключения.</w:t>
      </w:r>
    </w:p>
    <w:p w14:paraId="52B73B02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3.6. Владельцы НТО обязаны при использовании НТО:</w:t>
      </w:r>
    </w:p>
    <w:p w14:paraId="5A5F962A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соблюдать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14:paraId="2010AC51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соблюдать правила благоустройства территории городского округа Красноуфимск;</w:t>
      </w:r>
    </w:p>
    <w:p w14:paraId="3AAF57D9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соблюдать специализацию НТО, минимальный ассортиментный перечень, который должен быть постоянно в продаже;</w:t>
      </w:r>
    </w:p>
    <w:p w14:paraId="73C9F10D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использовать земли, земельные участки в соответствии с их целевым назначением способами, которые не должны наносить вред земле как природному объекту;</w:t>
      </w:r>
    </w:p>
    <w:p w14:paraId="25317C08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осуществлять мероприятия по охране земель, в том числе меры пожарной безопасности;</w:t>
      </w:r>
    </w:p>
    <w:p w14:paraId="766FFF91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14:paraId="41AC5483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выполнять иные требования, предусмотренные действующим законодательством и Договором на размещение НТО.</w:t>
      </w:r>
    </w:p>
    <w:p w14:paraId="0B3302BB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выполнять уборку прилегающей территории в радиусе 10 м от НТО.</w:t>
      </w:r>
    </w:p>
    <w:p w14:paraId="3EFC6AF1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3.7. НТО при их размещении не должны нарушать единого архитектурно-художественного облика улиц, площадей, зданий и сооружений, должны гармонично вписываться в элементы архитектуры, внешнего благоустройства территории, а также в элементы озеленения городского округа.</w:t>
      </w:r>
    </w:p>
    <w:p w14:paraId="749F836D" w14:textId="77777777" w:rsidR="00420E38" w:rsidRDefault="00371FCE">
      <w:pPr>
        <w:pStyle w:val="ad"/>
        <w:spacing w:beforeAutospacing="0" w:after="0" w:afterAutospacing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3.8. Типовые архитектурно-художественные решения НТО, обязательные для определенных объектов или групп объектов, включенных в Схему размещения устанавливаются постановлением Администрации городского округа Красноуфимск.</w:t>
      </w:r>
    </w:p>
    <w:p w14:paraId="2681F1AC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3.9. До окончания срока действия Договора размещения НТО внесение изменений в архитектурно-художественное решение объекта не допускается, за исключением случаев размещения НТО на территории комплексного благоустройства общественной территории, осуществляемого по утвержденной архитектурной концепции.</w:t>
      </w:r>
    </w:p>
    <w:p w14:paraId="62211DBD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3.10. Конструкция НТО должна обеспечивать возможность его перемещения и транспортировки.</w:t>
      </w:r>
    </w:p>
    <w:p w14:paraId="2B7EB5BA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3.11. Фасадное и боковое остекление должно быть выполнено из конструкций со стеклопакетами.</w:t>
      </w:r>
    </w:p>
    <w:p w14:paraId="370E60C9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3.12. Цветовое решение декоративных ограждающих поверхностей и виды отделки должны соответствовать типовому архитектурно-художественному решению, установленному Администрацией городского округа Красноуфимск при проведении конкурсных процедур, а также эскизному проекту, подготовленному на основании принятого постановлением Администрации городского округа Красноуфимск типового решения. До начала работ, подготовленный эскизный проект должен быть утвержден отделом архитектуры и градостроительства Администрации городского округа Красноуфимск, либо Советником главы городского округа Красноуфимск - главным архитектором.</w:t>
      </w:r>
    </w:p>
    <w:p w14:paraId="3DA3CC0C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3.13. В состав эскизного проекта НТО входят:</w:t>
      </w:r>
    </w:p>
    <w:p w14:paraId="4FD7B7B5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титульный лист;</w:t>
      </w:r>
    </w:p>
    <w:p w14:paraId="21AF824F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2) текстовая часть – пояснительная записка, содержащая сведения об объекте: местоположение, габаритные размеры, функциональное назначение, описание фасадов и характеристика архитектуры НТО;</w:t>
      </w:r>
    </w:p>
    <w:p w14:paraId="6526C539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графическая часть, включающая:</w:t>
      </w:r>
    </w:p>
    <w:p w14:paraId="1B690236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ситуационный план-схему размещения НТО на карте населенного пункта;</w:t>
      </w:r>
    </w:p>
    <w:p w14:paraId="268697AD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план размещения НТО, выполненный в масштабе 1:50, с указанием основных габаритных размеров;</w:t>
      </w:r>
    </w:p>
    <w:p w14:paraId="14759B52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развертки фасадов с цветовым решением, с указанием высотных отметок основных элементов фасадов, местом размещения вывески, а также ведомостью отделочных материалов;</w:t>
      </w:r>
    </w:p>
    <w:p w14:paraId="7ED45999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цветное трехмерное изображение НТО, вписанное в окружающую среду;</w:t>
      </w:r>
    </w:p>
    <w:p w14:paraId="337E475B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материалы фотофиксации территории участка до начала работ по установке нового НТО.</w:t>
      </w:r>
    </w:p>
    <w:p w14:paraId="0E8442CE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3.14. Для изготовления НТО и его отделки должны применяться современные сертифицированные материалы с соблюдением </w:t>
      </w:r>
      <w:hyperlink r:id="rId13">
        <w:r>
          <w:rPr>
            <w:rFonts w:ascii="Liberation Serif" w:hAnsi="Liberation Serif" w:cs="Times New Roman"/>
            <w:sz w:val="24"/>
            <w:szCs w:val="24"/>
          </w:rPr>
          <w:t>правил пожарной безопасности</w:t>
        </w:r>
      </w:hyperlink>
      <w:r>
        <w:rPr>
          <w:rFonts w:ascii="Liberation Serif" w:hAnsi="Liberation Serif" w:cs="Times New Roman"/>
          <w:sz w:val="24"/>
          <w:szCs w:val="24"/>
        </w:rPr>
        <w:t>, имеющие качественную и прочную окраску, отделку и не изменяющие своих эстетических и эксплуатационных качеств в течение всего срока эксплуатации НТО (не менее 10 лет).</w:t>
      </w:r>
    </w:p>
    <w:p w14:paraId="03039D06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3.15. Архитектурное и конструктивное решение входной группы (групп) НТО, имеющего торговый зал, должно соответствовать требованиям СНиП 35-01-2001 «Доступность зданий и сооружений для маломобильных групп населения».</w:t>
      </w:r>
    </w:p>
    <w:p w14:paraId="3CABADE5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3.16. Рекламно-информационное оформление НТО должно соответствовать требованиям размещения и содержания информационных конструкций, установленным нормативным актом городского округа Красноуфимск.</w:t>
      </w:r>
    </w:p>
    <w:p w14:paraId="213B054F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3.17. В случае объединения нескольких НТО в единый модуль различной конфигурации в соответствии со схемами блокировки, а также для объектов, находящихся в одной торговой зоне, материалы наружной отделки, соединительные декоративные элементы, общий козырек, рама остекления, дверные блоки и другие видимые элементы должны быть изготовлены из идентичных конструктивных материалов. Цветовая гамма наружной отделки всех НТО торговой зоны и сблокированных НТО должна соответствовать установленной для данной торговой площадки.</w:t>
      </w:r>
    </w:p>
    <w:p w14:paraId="70476D61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3.18. В конструкцию типовых НТО мелкорозничной торговли допускается вносить без согласования с отделом архитектуры и градостроительства Администрации городского округа Красноуфимск, либо Советником главы городского округа Красноуфимск - главным архитектором, следующие изменения:</w:t>
      </w:r>
    </w:p>
    <w:p w14:paraId="7F3C1F97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расположение и размеры окна выдачи товара, не меняя габаритных размеров остекления;</w:t>
      </w:r>
    </w:p>
    <w:p w14:paraId="4094DFB6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установка дополнительных рам остекления на боковых поверхностях НТО, при отсутствии по этим сторонам других сблокированных НТО;</w:t>
      </w:r>
    </w:p>
    <w:p w14:paraId="2A572CB3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расположения, размеров дверного блока.</w:t>
      </w:r>
    </w:p>
    <w:p w14:paraId="6D5A91DC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3.19. В целях приведения НТО, включенных в Схему размещения до момента вступления в силу настоящих Условий, в соответствие с требованиями настоящего раздела предусматривается переходный период, который действует с момента вступления в силу изменений настоящих Условий до завершения приведения НТО в соответствие с требованиями настоящего раздела, но не менее одного года.</w:t>
      </w:r>
    </w:p>
    <w:p w14:paraId="469AA606" w14:textId="77777777" w:rsidR="00420E38" w:rsidRDefault="00371FC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3.20. В случае внесения изменений в архитектурно-художественный облик объекта в соответствии с пунктом 3.9. настоящих Условий, в состав  эскизного проекта НТО, установленного пунктом 3.13. Условий, включается согласованное отделом архитектуры и градостроительства Администрации городского округа Красноуфимск либо Советником главы городского округа Красноуфимск - Главным архитектором цветовое трехмерное изображение НТО, вписанное в окружающую среду и являющееся неотъемлемой частью ранее согласованного эскизного проекта НТО.</w:t>
      </w:r>
    </w:p>
    <w:p w14:paraId="35E00CD2" w14:textId="77777777" w:rsidR="00420E38" w:rsidRDefault="00420E3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14:paraId="6F58A98E" w14:textId="77777777" w:rsidR="00420E38" w:rsidRDefault="00420E3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376DA18D" w14:textId="77777777" w:rsidR="00420E38" w:rsidRDefault="00371FCE">
      <w:pPr>
        <w:pStyle w:val="ConsPlusTitle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Глава 4. ПОРЯДОК ПРОВЕДЕНИЯ АУКЦИОНА, ПРЕДМЕТОМ КОТОРОГО ЯВЛЯЕТСЯ ПРАВО НА ЗАКЛЮЧЕНИЕ ДОГОВОРА НА РАЗМЕЩЕНИЕ НЕСТАЦИОНАРНЫХ ТОРГОВЫХ ОБЪЕКТОВ НА ЗЕМЛЯХ, ЗЕМЕЛЬНЫХ УЧАСТКАХ, НАХОДЯЩИХСЯ В МУНИЦИПАЛЬНОЙ СОБСТВЕННОСТИ ГОРОДСКОГО ОКРУГА КРАСНОУФИМСК, И ЗЕМЕЛЬНЫХ УЧАСТКАХ, ПРАВО ГОСУДАРСТВЕННОЙ СОБСТВЕННОСТИ НА КОТОРЫЕ НЕ РАЗГРАНИЧЕНО</w:t>
      </w:r>
    </w:p>
    <w:p w14:paraId="03DB6688" w14:textId="77777777" w:rsidR="00420E38" w:rsidRDefault="00420E38">
      <w:pPr>
        <w:pStyle w:val="ConsPlusTitle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</w:p>
    <w:p w14:paraId="12F92DC0" w14:textId="77777777" w:rsidR="00420E38" w:rsidRDefault="00371FCE">
      <w:pPr>
        <w:pStyle w:val="ConsPlusTitle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Раздел 4.1. Организация проведения аукциона</w:t>
      </w:r>
    </w:p>
    <w:p w14:paraId="7C5CD705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14:paraId="10B1C47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4.1.1. Заключение Договора на размещение НТО на землях, земельных участках, находящихся в муниципальной собственности городского округа Красноуфимск, и земельных участках, право государственной собственности на которые не разграничено, осуществляется на основе торгов в форме аукциона (далее по тексту - аукцион).</w:t>
      </w:r>
    </w:p>
    <w:p w14:paraId="0ECAE79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4.1.2. Аукцион на право заключения Договора на размещение НТО на землях, земельных участках, находящихся в муниципальной собственности городского округа Красноуфимск, и земельных участках, право государственной собственности на которые не разграничено, проводятся только в отношении НТО, указанных в утвержденной Схеме размещения.</w:t>
      </w:r>
    </w:p>
    <w:p w14:paraId="1922737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4.1.3. Аукцион является открытым по составу участников и по форме подачи предложений о цене права на заключение Договора на размещение НТО.</w:t>
      </w:r>
    </w:p>
    <w:p w14:paraId="59B3F17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4.1.4. Продавцом права на заключение Договора на размещение НТО и организатором аукциона выступает ОМС «Управление муниципальным имуществом городского округа Красноуфимск» (далее - Управление).</w:t>
      </w:r>
    </w:p>
    <w:p w14:paraId="6742871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4.1.5. Решение о проведении аукциона принимается Управлением, в том числе по заявлениям индивидуальных предпринимателей или юридических лиц и иных заинтересованных лиц в заключении Договора на размещение НТО.</w:t>
      </w:r>
    </w:p>
    <w:p w14:paraId="7E46688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4.1.6. Начальная цена предмета аукциона устанавливается в десятикратном размере месячной платы за размещение НТО. Формула расчета месячной платы за размещение НТО:</w:t>
      </w:r>
    </w:p>
    <w:p w14:paraId="6E25130D" w14:textId="77777777" w:rsidR="00420E38" w:rsidRDefault="00420E3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1F58DE6C" w14:textId="77777777" w:rsidR="00420E38" w:rsidRDefault="00371FCE">
      <w:pPr>
        <w:pStyle w:val="ConsPlusNormal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m:oMath>
        <m:r>
          <w:rPr>
            <w:rFonts w:ascii="Cambria Math" w:hAnsi="Cambria Math"/>
          </w:rPr>
          <m:t>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SхСрУКСхСтхКухКТЗ</m:t>
            </m:r>
          </m:num>
          <m:den>
            <m:r>
              <w:rPr>
                <w:rFonts w:ascii="Cambria Math" w:hAnsi="Cambria Math"/>
              </w:rPr>
              <m:t>100х12</m:t>
            </m:r>
          </m:den>
        </m:f>
      </m:oMath>
      <w:r>
        <w:rPr>
          <w:rFonts w:ascii="Liberation Serif" w:hAnsi="Liberation Serif" w:cs="Times New Roman"/>
          <w:i/>
          <w:sz w:val="24"/>
          <w:szCs w:val="24"/>
        </w:rPr>
        <w:t>,</w:t>
      </w:r>
      <w:r>
        <w:rPr>
          <w:rFonts w:ascii="Liberation Serif" w:hAnsi="Liberation Serif" w:cs="Times New Roman"/>
          <w:sz w:val="24"/>
          <w:szCs w:val="24"/>
        </w:rPr>
        <w:t xml:space="preserve"> где</w:t>
      </w:r>
    </w:p>
    <w:p w14:paraId="2F59A316" w14:textId="77777777" w:rsidR="00420E38" w:rsidRDefault="00420E38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14:paraId="1CD2524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 - величина ежемесячной платы по Договору на размещение НТО;</w:t>
      </w:r>
    </w:p>
    <w:p w14:paraId="4BAADB4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S - площадь, занимаемая НТО на землях, земельных участках, находящихся в муниципальной собственности городского округа Красноуфимск, и земельных участках, право государственной собственности на которые не разграничено;</w:t>
      </w:r>
    </w:p>
    <w:p w14:paraId="74AB5E8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СрУКС - средний уровень кадастровой стоимости по городскому округу Красноуфимск в сегменте «Предпринимательство», утвержденный Приказом МУГИСО от 08.10.2020 года № 3333;</w:t>
      </w:r>
    </w:p>
    <w:p w14:paraId="6D56472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СТ - </w:t>
      </w:r>
      <w:hyperlink w:anchor="P261">
        <w:r>
          <w:rPr>
            <w:rFonts w:ascii="Liberation Serif" w:hAnsi="Liberation Serif" w:cs="Times New Roman"/>
            <w:sz w:val="24"/>
            <w:szCs w:val="24"/>
          </w:rPr>
          <w:t>ставка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платы за размещение НТО на территории городского округа Красноуфимск (Приложение № 1 к Условиям);</w:t>
      </w:r>
    </w:p>
    <w:p w14:paraId="21F52CA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Ку - коэффициент увеличения, ежегодно устанавливаемый Правительством Свердловской области, с учетом показателей инфляции (сводного индекса потребительских цен), предусмотренных прогнозом социально-экономического развития Российской Федерации на среднесрочный период;</w:t>
      </w:r>
    </w:p>
    <w:p w14:paraId="55BE585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КТЗ – коэффициент территориальной зоны (Приложение № 2 к Условиям).</w:t>
      </w:r>
    </w:p>
    <w:p w14:paraId="024F9D0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4.1.7. Срок размещения НТО составляет 7 лет, если иное не предусмотрено настоящими Условиями или Порядком размещения нестационарных торговых объектов на территории Свердловской области, утвержденным Постановлением Правительства Свердловской области от 14.03.2019 N 164-ПП.</w:t>
      </w:r>
    </w:p>
    <w:p w14:paraId="434801D1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4.1.8 Оплата за размещение НТО временного размещения (бахчевой развал, елочный базар) составляет 180 календарных дней. Оплата за размещение НТО временного размещение </w:t>
      </w:r>
      <w:r>
        <w:rPr>
          <w:rFonts w:ascii="Liberation Serif" w:hAnsi="Liberation Serif" w:cs="Times New Roman"/>
          <w:sz w:val="24"/>
          <w:szCs w:val="24"/>
        </w:rPr>
        <w:lastRenderedPageBreak/>
        <w:t>производится единовременно, одной суммой за весь период размещения НТО (180 дней) авансовым платежом, не позднее 30 дней с даты заключения договора на размещение НТО. Последующие платежи осуществляются в срок до 01 мая года, в течении которого будет осуществляться размещение НТО. Формула расчета месячной платы за размещение НТО (временного размещения):</w:t>
      </w:r>
    </w:p>
    <w:p w14:paraId="3C7A7476" w14:textId="77777777" w:rsidR="00420E38" w:rsidRDefault="00371FCE">
      <w:pPr>
        <w:pStyle w:val="ConsPlusNormal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m:oMath>
        <m:r>
          <w:rPr>
            <w:rFonts w:ascii="Cambria Math" w:hAnsi="Cambria Math"/>
          </w:rPr>
          <m:t>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SхСрУКСхСтхКухКТЗх180</m:t>
            </m:r>
          </m:num>
          <m:den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100</m:t>
                </m:r>
              </m:num>
              <m:den>
                <m:r>
                  <w:rPr>
                    <w:rFonts w:ascii="Cambria Math" w:hAnsi="Cambria Math"/>
                  </w:rPr>
                  <m:t>365</m:t>
                </m:r>
              </m:den>
            </m:f>
          </m:den>
        </m:f>
      </m:oMath>
      <w:r>
        <w:rPr>
          <w:rFonts w:ascii="Liberation Serif" w:hAnsi="Liberation Serif" w:cs="Times New Roman"/>
          <w:i/>
          <w:sz w:val="24"/>
          <w:szCs w:val="24"/>
        </w:rPr>
        <w:t>,</w:t>
      </w:r>
      <w:r>
        <w:rPr>
          <w:rFonts w:ascii="Liberation Serif" w:hAnsi="Liberation Serif" w:cs="Times New Roman"/>
          <w:sz w:val="24"/>
          <w:szCs w:val="24"/>
        </w:rPr>
        <w:t xml:space="preserve"> где</w:t>
      </w:r>
    </w:p>
    <w:p w14:paraId="40D2B2ED" w14:textId="77777777" w:rsidR="00420E38" w:rsidRDefault="00420E38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14:paraId="6E2702B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 - величина ежемесячной платы по Договору на размещение НТО;</w:t>
      </w:r>
    </w:p>
    <w:p w14:paraId="699F1CE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S - площадь, занимаемая НТО на землях, земельных участках, находящихся в муниципальной собственности городского округа Красноуфимск, и земельных участках, право государственной собственности на которые не разграничено;</w:t>
      </w:r>
    </w:p>
    <w:p w14:paraId="182503F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СрУКС - средний уровень кадастровой стоимости по городскому округу Красноуфимск в сегменте «Предпринимательство», утвержденный Приказом МУГИСО от 08.10.2020 года № 3333</w:t>
      </w:r>
    </w:p>
    <w:p w14:paraId="5F15F51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СТ - </w:t>
      </w:r>
      <w:hyperlink w:anchor="P261">
        <w:r>
          <w:rPr>
            <w:rFonts w:ascii="Liberation Serif" w:hAnsi="Liberation Serif" w:cs="Times New Roman"/>
            <w:sz w:val="24"/>
            <w:szCs w:val="24"/>
          </w:rPr>
          <w:t>ставка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 платы за размещение НТО на территории городского округа Красноуфимск (Приложение № 1 к Условиям);</w:t>
      </w:r>
    </w:p>
    <w:p w14:paraId="686875C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Ку - коэффициент увеличения, ежегодно устанавливаемый Правительством Свердловской области, с учетом показателей инфляции (сводного индекса потребительских цен), предусмотренных прогнозом социально-экономического развития Российской Федерации на среднесрочный период;</w:t>
      </w:r>
    </w:p>
    <w:p w14:paraId="0A7C42B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КТЗ – коэффициент территориальной зоны (Приложение № 2 к Условиям).</w:t>
      </w:r>
    </w:p>
    <w:p w14:paraId="5C1943D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Срок размещения НТО указывается в извещении о проведении аукциона и в заключаемом Договоре на размещение НТО.</w:t>
      </w:r>
    </w:p>
    <w:p w14:paraId="504D9B7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4.1.9. По результатам аукциона определяется стоимость права за размещение НТО.</w:t>
      </w:r>
    </w:p>
    <w:p w14:paraId="4C526C8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4.1.10. Организатор аукциона устанавливает время, место и порядок проведения аукциона, сроки подачи заявок на участие в аукционе, размер, порядок внесения и возврата задатка, величину повышения начальной цены предмета аукциона («шаг аукциона»). «Шаг аукциона» устанавливается в размере от 3 (трех) до 20 (двадцати) процентов начальной цены предмета аукциона.</w:t>
      </w:r>
    </w:p>
    <w:p w14:paraId="1119CB9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4.1.11. Задаток устанавливается в размере 100 (сто) процентов начальной цены предмета аукциона.</w:t>
      </w:r>
    </w:p>
    <w:p w14:paraId="25A405D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4.1.12. 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 (далее по тексту - официальный сайт), на официальном сайте Администрации городского округа Красноуфимск в сети Интернет go-kruf.midural.ru (раздел «Управление муниципальным имуществом (УМИ)», подраздел «Размещение нестационарных торговых объектов») не менее чем за 20 (двадцать) дней до даты окончания подачи заявок на участие в торгах, но не позднее чем за 30 (тридцать) дней до даты проведения аукциона.</w:t>
      </w:r>
    </w:p>
    <w:p w14:paraId="20810CD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4.1.13. В состав документации об аукционе включаются:</w:t>
      </w:r>
    </w:p>
    <w:p w14:paraId="11D6074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проект Договора на размещение НТО, заключаемого с победителем аукциона;</w:t>
      </w:r>
    </w:p>
    <w:p w14:paraId="5AE29FC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бланк заявки;</w:t>
      </w:r>
    </w:p>
    <w:p w14:paraId="4317DBA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извещение о проведении аукциона.</w:t>
      </w:r>
    </w:p>
    <w:p w14:paraId="05533B8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4.1.14. Извещение о проведении аукциона должно содержать сведения:</w:t>
      </w:r>
    </w:p>
    <w:p w14:paraId="651FDFB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об организаторе аукциона;</w:t>
      </w:r>
    </w:p>
    <w:p w14:paraId="12D7683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об уполномоченном органе и о реквизитах решения о проведении аукциона;</w:t>
      </w:r>
    </w:p>
    <w:p w14:paraId="6CC6114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о месте, дате, времени и порядке проведения аукциона;</w:t>
      </w:r>
    </w:p>
    <w:p w14:paraId="0591779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4) о предмете аукциона (в том числе о местоположении, площади и кадастровом номере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участка); </w:t>
      </w:r>
    </w:p>
    <w:p w14:paraId="38A652B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 о начальной цене предмета аукциона;</w:t>
      </w:r>
    </w:p>
    <w:p w14:paraId="5FC1304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6) о «шаге аукциона»;</w:t>
      </w:r>
    </w:p>
    <w:p w14:paraId="11659A7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14:paraId="01E3811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14:paraId="0FDB987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9) о сроке размещения НТО;</w:t>
      </w:r>
    </w:p>
    <w:p w14:paraId="7673AEB1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10) о размере платы за размещение НТО.</w:t>
      </w:r>
    </w:p>
    <w:p w14:paraId="4F01C15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11) о специализации НТО.</w:t>
      </w:r>
    </w:p>
    <w:p w14:paraId="11644A2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4.1.15. Если иное не предусмотрено в извещении о проведении торгов, организатор аукциона вправе отказаться от проведения аукциона в любое время, но не позднее чем за 3 (три) дня до наступления даты его проведения.</w:t>
      </w:r>
    </w:p>
    <w:p w14:paraId="4F7CAE0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Извещение об отказе в проведении аукциона размещается на официальном сайте организатором аукциона не позднее следующего дня со дня принятия данного решения. Организатор аукциона не позднее следующего дня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7D2E0F4C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14:paraId="6B0DC9FF" w14:textId="77777777" w:rsidR="00420E38" w:rsidRDefault="00371FCE">
      <w:pPr>
        <w:pStyle w:val="ConsPlusTitle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Раздел 4.2. Порядок проведения аукциона</w:t>
      </w:r>
    </w:p>
    <w:p w14:paraId="0B0B315A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14:paraId="47710AF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4.2.1. Для участия в аукционе заявители представляют в Управление в установленный в извещении о проведении аукциона срок следующие документы:</w:t>
      </w:r>
    </w:p>
    <w:p w14:paraId="56BE3AD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5AE4EC4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копии документов, подтверждающие регистрацию физического лица в качестве индивидуального предпринимателя;</w:t>
      </w:r>
    </w:p>
    <w:p w14:paraId="1B4A32C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копии документов, подтверждающих регистрацию юридического лица в налоговом органе</w:t>
      </w:r>
    </w:p>
    <w:p w14:paraId="088A7F85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44ABD8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 документы, подтверждающие внесение задатка;</w:t>
      </w:r>
    </w:p>
    <w:p w14:paraId="02559DF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6) эскиз НТО, согласованный с отделом архитектуры и градостроительства Администрации городского округа Красноуфимск, либо Советником главы городского округа Красноуфимск - главным архитектором.</w:t>
      </w:r>
    </w:p>
    <w:p w14:paraId="2999CFD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4.2.2. Представление документов, подтверждающих внесение задатка, признается заключением соглашения о задатке.</w:t>
      </w:r>
    </w:p>
    <w:p w14:paraId="0CC847E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4.2.3.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7A7B21A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4.2.4. Прием документов прекращается не ранее чем за 5 (пять) дней до дня проведения аукциона.</w:t>
      </w:r>
    </w:p>
    <w:p w14:paraId="60C6574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4.2.5. Один заявитель вправе подать только одну заявку на участие в аукционе.</w:t>
      </w:r>
    </w:p>
    <w:p w14:paraId="34105D8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4.2.6. Заявка на участие в аукционе, поступившая по истечении срока приема заявок, возвращается заявителю в день ее поступления.</w:t>
      </w:r>
    </w:p>
    <w:p w14:paraId="72E09FC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4.2.7.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(трех) рабочих дней со дня поступления уведомления об отзыве заявки. </w:t>
      </w:r>
      <w:r>
        <w:rPr>
          <w:rFonts w:ascii="Liberation Serif" w:hAnsi="Liberation Serif" w:cs="Times New Roman"/>
          <w:sz w:val="24"/>
          <w:szCs w:val="24"/>
        </w:rPr>
        <w:lastRenderedPageBreak/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2E5E03F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4.2.8. Заявитель не допускается к участию в аукционе в следующих случаях:</w:t>
      </w:r>
    </w:p>
    <w:p w14:paraId="67CBB60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0D1348C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не поступление задатка на дату рассмотрения заявок на участие в аукционе;</w:t>
      </w:r>
    </w:p>
    <w:p w14:paraId="37DC5F3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право на заключение Договора на размещение НТО. </w:t>
      </w:r>
    </w:p>
    <w:p w14:paraId="1C3CFDF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 при нахождении организации в стадии банкротства или ликвидации.</w:t>
      </w:r>
    </w:p>
    <w:p w14:paraId="6AE8EAA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4.2.9.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14:paraId="047E689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данного протокола.</w:t>
      </w:r>
    </w:p>
    <w:p w14:paraId="007F9951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3A2962D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4.2.11. Организатор аукциона обязан вернуть заявителю, не допущенному к участию в аукционе, внесенный им задаток в течение 3 (трех) рабочих дней со дня оформления протокола рассмотрения заявок на участие в аукционе.</w:t>
      </w:r>
    </w:p>
    <w:p w14:paraId="60C17E3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4.2.12.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7A14CEE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4.2.13. В случае, если аукцион признан несостоявшимся и только один заявитель признан участником аукциона, Управление в течение 5 (пяти) дней со дня подписания протокола, указанного в </w:t>
      </w:r>
      <w:hyperlink w:anchor="P197">
        <w:r>
          <w:rPr>
            <w:rFonts w:ascii="Liberation Serif" w:hAnsi="Liberation Serif" w:cs="Times New Roman"/>
            <w:sz w:val="24"/>
            <w:szCs w:val="24"/>
          </w:rPr>
          <w:t>пункте 4.2.9</w:t>
        </w:r>
      </w:hyperlink>
      <w:r>
        <w:rPr>
          <w:rFonts w:ascii="Liberation Serif" w:hAnsi="Liberation Serif" w:cs="Times New Roman"/>
          <w:sz w:val="24"/>
          <w:szCs w:val="24"/>
        </w:rPr>
        <w:t>, обязан направить заявителю 2 (два) экземпляра неподписанного проекта Договора на размещение НТО.</w:t>
      </w:r>
    </w:p>
    <w:p w14:paraId="0B53B2C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При этом размер ежемесячной платы по Договору на размещение НТО определяется в размере, рассчитанном в соответствии с формулой, указанной в </w:t>
      </w:r>
      <w:hyperlink w:anchor="P137">
        <w:r>
          <w:rPr>
            <w:rFonts w:ascii="Liberation Serif" w:hAnsi="Liberation Serif" w:cs="Times New Roman"/>
            <w:sz w:val="24"/>
            <w:szCs w:val="24"/>
          </w:rPr>
          <w:t>пункте 4.1.6</w:t>
        </w:r>
      </w:hyperlink>
      <w:r>
        <w:rPr>
          <w:rFonts w:ascii="Liberation Serif" w:hAnsi="Liberation Serif" w:cs="Times New Roman"/>
          <w:sz w:val="24"/>
          <w:szCs w:val="24"/>
        </w:rPr>
        <w:t>., 4.1.8.</w:t>
      </w:r>
    </w:p>
    <w:p w14:paraId="24FED4E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Договор считается заключенным после оплаты стоимости права на заключение Договора на размещение НТО с момента подписания договора обеими сторонами.</w:t>
      </w:r>
    </w:p>
    <w:p w14:paraId="5F3ACD3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4.2.14.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Управление в течение 5 (пяти) дней со дня рассмотрения указанной заявки обязан направить заявителю 2 (два) экземпляра неподписанного проекта Договора на размещение НТО.</w:t>
      </w:r>
    </w:p>
    <w:p w14:paraId="6DDF269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 этом размер ежемесячной платы по Договору на размещение НТО определяется в размере, рассчитанном в соответствии с формулой, указанной в пункте 4.1.6., 4.1.8.</w:t>
      </w:r>
    </w:p>
    <w:p w14:paraId="24D7915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Договор считается заключенным после оплаты стоимости права на заключение договора на размещение НТО с момента подписания договора обеими сторонами.</w:t>
      </w:r>
    </w:p>
    <w:p w14:paraId="7CEFC2C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4.2.15. Результаты аукциона оформляются протоколом, который подписывается победителем аукциона и организатором торгов (аукционистом и всеми присутствующими </w:t>
      </w:r>
      <w:r>
        <w:rPr>
          <w:rFonts w:ascii="Liberation Serif" w:hAnsi="Liberation Serif" w:cs="Times New Roman"/>
          <w:sz w:val="24"/>
          <w:szCs w:val="24"/>
        </w:rPr>
        <w:lastRenderedPageBreak/>
        <w:t>членами аукционной комиссии) в день проведения аукциона.</w:t>
      </w:r>
    </w:p>
    <w:p w14:paraId="1510E02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Данный протокол имеет силу договора и является основанием для заключения с победителем аукциона Договора на размещение НТО.</w:t>
      </w:r>
    </w:p>
    <w:p w14:paraId="4375170F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Лицо, уклонившееся от подписания протокола, теряет уплаченный задаток.</w:t>
      </w:r>
    </w:p>
    <w:p w14:paraId="7E0265D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Протокол о результатах аукциона составляется в 2 (двух)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3D09458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сведения о месте, дате и времени проведения аукциона;</w:t>
      </w:r>
    </w:p>
    <w:p w14:paraId="27BCA82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предмет аукциона (в том числе сведения о местоположении, площади и кадастровом номере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участка);</w:t>
      </w:r>
    </w:p>
    <w:p w14:paraId="0B8BB9C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0A6310C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индивидуального предпринимателя) победителя аукциона и иного участника аукциона, который сделал предпоследнее предложение о цене предмета аукциона;</w:t>
      </w:r>
    </w:p>
    <w:p w14:paraId="1587D4C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 сведения о последнем предложении о цене предмета аукциона (размер стоимости права на заключение Договора на размещение НТО).</w:t>
      </w:r>
    </w:p>
    <w:p w14:paraId="16FA7D0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4.2.16. Протокол о результатах аукциона размещается на официальном сайте Администрации городского округа Красноуфимск в сети Интернет go-kruf.midural.ru (раздел «Управление муниципальным имуществом (УМИ)», подраздел «Размещение нестационарных торговых объектов») в течение одного рабочего дня со дня подписания данного протокола.</w:t>
      </w:r>
    </w:p>
    <w:p w14:paraId="229B723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4.2.17. Победителем аукциона признается участник аукциона, предложивший наибольшую цену за право на заключение Договора на размещение НТО.</w:t>
      </w:r>
    </w:p>
    <w:p w14:paraId="4079D823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4.2.18. В течение 3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1D6591F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4.2.19.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C9E06CD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4.2.20. Управление направляет победителю аукциона или единственному принявшему участие в аукционе его участнику 2 (два) экземпляра неподписанного проекта Договора на размещение НТО в течение 5 (пяти) дней со дня составления протокола о результатах аукциона.</w:t>
      </w:r>
    </w:p>
    <w:p w14:paraId="3577BE4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При этом размер ежемесячной платы по Договору на размещение НТО определяется в размере, рассчитанном в соответствии с формулой, указанной в </w:t>
      </w:r>
      <w:hyperlink w:anchor="P137">
        <w:r>
          <w:rPr>
            <w:rFonts w:ascii="Liberation Serif" w:hAnsi="Liberation Serif" w:cs="Times New Roman"/>
            <w:sz w:val="24"/>
            <w:szCs w:val="24"/>
          </w:rPr>
          <w:t>пункте 4.1.6</w:t>
        </w:r>
      </w:hyperlink>
      <w:r>
        <w:rPr>
          <w:rFonts w:ascii="Liberation Serif" w:hAnsi="Liberation Serif" w:cs="Times New Roman"/>
          <w:sz w:val="24"/>
          <w:szCs w:val="24"/>
        </w:rPr>
        <w:t>., 4.1.8.</w:t>
      </w:r>
    </w:p>
    <w:p w14:paraId="4DCBF23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Договор считается заключенным после оплаты стоимости права на заключение Договора на размещение НТО с момента подписания договора обеими сторонами.</w:t>
      </w:r>
    </w:p>
    <w:p w14:paraId="241870A4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4.2.21. Договор на размещение НТО заключается на срок, установленный в извещении о проведении аукциона.</w:t>
      </w:r>
    </w:p>
    <w:p w14:paraId="58A607B0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Договор подлежит заключению между Управлением и победителем аукциона не ранее чем через 10 (десять) дней и не позднее чем через 15 дней со дня размещения информации о результатах аукциона на официальном сайте торгов.</w:t>
      </w:r>
    </w:p>
    <w:p w14:paraId="7481C90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Внесенный победителем аукциона задаток засчитывается в счет оплаты стоимости права.</w:t>
      </w:r>
    </w:p>
    <w:p w14:paraId="320AB098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окончании срока действия договора обязательства сторон по договору прекращаются.</w:t>
      </w:r>
    </w:p>
    <w:p w14:paraId="5F258BF6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Договор на размещение НТО государственной регистрации в органе по </w:t>
      </w:r>
      <w:r>
        <w:rPr>
          <w:rFonts w:ascii="Liberation Serif" w:hAnsi="Liberation Serif" w:cs="Times New Roman"/>
          <w:sz w:val="24"/>
          <w:szCs w:val="24"/>
        </w:rPr>
        <w:lastRenderedPageBreak/>
        <w:t>государственной регистрации прав на недвижимое имущество и сделок с ним не подлежит.</w:t>
      </w:r>
    </w:p>
    <w:p w14:paraId="3E7746E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4.2.22. Задаток, внесенный лицом, признанным победителем аукциона, задаток, внесенный иным лицом, с которым Договор на размещение НТО заключается в соответствии с настоящим Положением, засчитываются в счет оплаты стоимости права на заключение Договора на размещение НТО.</w:t>
      </w:r>
    </w:p>
    <w:p w14:paraId="00E8641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Задатки, внесенные этими лицами, не подписавшими протокол проведения аукциона и не заключившими в установленном порядке Договор на размещение НТО вследствие уклонения от заключения указанного договора, не возвращаются.</w:t>
      </w:r>
    </w:p>
    <w:p w14:paraId="6E547B1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4.2.23. В случае если победитель аукциона не подписал и не представил в Управление договор в срок, указанный в </w:t>
      </w:r>
      <w:hyperlink w:anchor="P228">
        <w:r>
          <w:rPr>
            <w:rFonts w:ascii="Liberation Serif" w:hAnsi="Liberation Serif" w:cs="Times New Roman"/>
            <w:sz w:val="24"/>
            <w:szCs w:val="24"/>
          </w:rPr>
          <w:t>пункте 4.2.21</w:t>
        </w:r>
      </w:hyperlink>
      <w:r>
        <w:rPr>
          <w:rFonts w:ascii="Liberation Serif" w:hAnsi="Liberation Serif" w:cs="Times New Roman"/>
          <w:sz w:val="24"/>
          <w:szCs w:val="24"/>
        </w:rPr>
        <w:t>, он считается уклонившимся от заключения договора.</w:t>
      </w:r>
    </w:p>
    <w:p w14:paraId="3A038FDB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 уклонении или отказе от заключения в установленный срок договора победитель аукциона утрачивает право на заключение указанного договора и задаток ему не возвращается.</w:t>
      </w:r>
    </w:p>
    <w:p w14:paraId="35B289D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случае уклонения или отказа победителя аукциона от заключения в установленный срок договора Управление вправе обратиться в суд с требованием о понуждении заключить договор, а также о возмещении убытков, причиненных уклонением от его заключения.</w:t>
      </w:r>
    </w:p>
    <w:p w14:paraId="1D5FE42A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Управление в случае уклонения или отказа победителя аукциона от заключения в установленный срок договора предлагает заключить договор участнику аукциона, который сделал предпоследнее предложение о цене предмета аукциона, по цене, которую он предложил.</w:t>
      </w:r>
    </w:p>
    <w:p w14:paraId="02C0E2EC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Предложение о заключении договора с указанием срока для его заключения направляется участнику аукциона, который сделал предпоследнее предложение о цене предмета аукциона, в течение 5 (пяти) рабочих дней с момента истечения срока для подписания договора победителем аукциона.</w:t>
      </w:r>
    </w:p>
    <w:p w14:paraId="3CCE2C09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Участник аукциона, который сделал предпоследнее предложение о цене предмета аукциона, подписывает договор в течение 5 (пяти) дней со дня направления ему проекта указанного договора.</w:t>
      </w:r>
    </w:p>
    <w:p w14:paraId="4C7C26D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Если участник аукциона, который сделал предпоследнее предложение о цене предмета аукциона, не представил в течение 5 (пяти) дней со дня направления ему проекта указанного договора в Управление подписанный им договор, аукцион признается несостоявшимся.</w:t>
      </w:r>
    </w:p>
    <w:p w14:paraId="51EBFC12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этом случае организатор аукциона вправе объявить о проведении повторного аукциона или распорядиться своими правами иным образом в соответствии с настоящим Положением и действующим законодательством.</w:t>
      </w:r>
    </w:p>
    <w:p w14:paraId="65322E2E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4.2.24.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15 (пятнадцати) дней со дня направления им проекта договора не подписали и не представили в Управление указанный договор.</w:t>
      </w:r>
    </w:p>
    <w:p w14:paraId="51228D47" w14:textId="77777777" w:rsidR="00420E38" w:rsidRDefault="00371FC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 этом условия повторного аукциона могут быть изменены.</w:t>
      </w:r>
    </w:p>
    <w:p w14:paraId="3592AC38" w14:textId="77777777" w:rsidR="00420E38" w:rsidRDefault="00420E3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56E5A880" w14:textId="77777777" w:rsidR="00420E38" w:rsidRDefault="00420E3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437E0D44" w14:textId="77777777" w:rsidR="00420E38" w:rsidRDefault="00420E3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55CFD094" w14:textId="77777777" w:rsidR="00420E38" w:rsidRDefault="00420E3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2081A6AB" w14:textId="77777777" w:rsidR="00420E38" w:rsidRDefault="00420E38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28E3ACFD" w14:textId="77777777" w:rsidR="00420E38" w:rsidRDefault="00371FCE">
      <w:pPr>
        <w:pStyle w:val="ConsPlusTitle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Раздел 4.3. Порядок зачета затрат в случае внесения изменений в архитектурно-художественный облик объекта</w:t>
      </w:r>
    </w:p>
    <w:p w14:paraId="41702899" w14:textId="77777777" w:rsidR="00420E38" w:rsidRDefault="00420E38">
      <w:pPr>
        <w:pStyle w:val="ConsPlusTitle"/>
        <w:outlineLvl w:val="1"/>
        <w:rPr>
          <w:rFonts w:ascii="Liberation Serif" w:hAnsi="Liberation Serif" w:cs="Times New Roman"/>
          <w:sz w:val="24"/>
          <w:szCs w:val="24"/>
        </w:rPr>
      </w:pPr>
    </w:p>
    <w:p w14:paraId="06D24263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4.3.1. Основанием для возмещения затрат на изменение в архитектурно -художественный облик объекта является размещение НТО на территории комплексного благоустройства общественной территории, осуществляемого по утвержденной архитектурной концепции и требующего внесения соответствующих изменений.</w:t>
      </w:r>
    </w:p>
    <w:p w14:paraId="4B498A69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4.3.2.  Наличие либо отсутствие оснований, указанных пункте 4.3.1. по результатам обследования выявляет советник Главы городского округа Красноуфимск: Главный Архитектор.</w:t>
      </w:r>
    </w:p>
    <w:p w14:paraId="5F4FABB2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4.3.3. При зачете затрат на изменение архитектурно-художественного облика объекта учитываются следующие виды работ:</w:t>
      </w:r>
    </w:p>
    <w:p w14:paraId="0E7AA56E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замена фасада и(или) кровли НТО.</w:t>
      </w:r>
    </w:p>
    <w:p w14:paraId="122937AB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4.3.4. По окончанию работ, указанных в пункте 4.3.3. владелец НТО предоставляет в Управление документы: счет-фактуру, накладную либо кассовый (товарный чек) и (или) договор подряда, подтверждающие размер произведенных затрат на материалы и услуги(работы).</w:t>
      </w:r>
    </w:p>
    <w:p w14:paraId="52495244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4.3.5. Управление после рассмотрения предоставленных владельцем НТО документов принимает решение о сумме принимаемых к возмещению затрат, связанных с приведением архитектурно - художественного облика объекта, которое оформляется распоряжением Управления «об уменьшении платы за размещение НТО».</w:t>
      </w:r>
    </w:p>
    <w:p w14:paraId="61E5EEEA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4.3.6. При издании Распоряжения об уменьшении размера платы за размещение НТО на сумму произведенных затрат в счет будущих платежей в бюджет городского округа подлежит обязательному перечислению сумма платы в размере 25% от платы, установленной действующим договором размещения НТО.</w:t>
      </w:r>
    </w:p>
    <w:p w14:paraId="4D0B7CA5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4.3.7. Размер зачета затрат на приведение архитектурно - художественного облика объекта не может превышать 50 процентов от суммы произведенных затрат владельцем НТО.</w:t>
      </w:r>
    </w:p>
    <w:p w14:paraId="4CB9A686" w14:textId="77777777" w:rsidR="00420E38" w:rsidRDefault="00371FCE">
      <w:pPr>
        <w:pStyle w:val="Standard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4.3.8. На основании изданного распоряжения, Управлением оформляется дополнительное соглашение к договору на размещение НТО с указанием процента возмещения затрат, а также период действия, на который распространяется возмещение затрат.</w:t>
      </w:r>
    </w:p>
    <w:p w14:paraId="093641B1" w14:textId="77777777" w:rsidR="00420E38" w:rsidRDefault="00371FC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4.3.9. По окончанию финансового года Управление предоставляет справку о выпадающих доходах городского бюджета в Финансовое управление Администрации городского округа Красноуфимск, не полученных в связи с уменьшением размера платы на размещение НТО на сумму произведенных затрат по изменению архитектурно-художественного облика объекта НТО.</w:t>
      </w:r>
    </w:p>
    <w:p w14:paraId="0182E312" w14:textId="77777777" w:rsidR="00420E38" w:rsidRDefault="00420E3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154DCCC2" w14:textId="77777777" w:rsidR="00420E38" w:rsidRDefault="00371FCE">
      <w:pPr>
        <w:pStyle w:val="ConsPlusTitle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Глава 5. ЗАКЛЮЧИТЕЛЬНЫЕ ПОЛОЖЕНИЯ</w:t>
      </w:r>
    </w:p>
    <w:p w14:paraId="64B4F030" w14:textId="77777777" w:rsidR="00420E38" w:rsidRDefault="00420E38">
      <w:pPr>
        <w:pStyle w:val="ConsPlusTitle"/>
        <w:jc w:val="both"/>
        <w:outlineLvl w:val="1"/>
      </w:pPr>
    </w:p>
    <w:p w14:paraId="0C6F523F" w14:textId="77777777" w:rsidR="00420E38" w:rsidRDefault="00371FCE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Раздел 5.1  Основания для отказа  в заключении или расторжении Договора</w:t>
      </w:r>
    </w:p>
    <w:p w14:paraId="25B2ECCA" w14:textId="77777777" w:rsidR="00420E38" w:rsidRDefault="00420E38">
      <w:pPr>
        <w:pStyle w:val="ConsPlusTitle"/>
        <w:jc w:val="both"/>
        <w:outlineLvl w:val="1"/>
        <w:rPr>
          <w:rFonts w:ascii="Liberation Serif" w:hAnsi="Liberation Serif"/>
          <w:sz w:val="24"/>
          <w:szCs w:val="24"/>
        </w:rPr>
      </w:pPr>
    </w:p>
    <w:p w14:paraId="5C32DA2C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>5.1.1 Основаниями для отказа в заключении Договора на размещение НТО:</w:t>
      </w:r>
    </w:p>
    <w:p w14:paraId="25E8AD31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1) Отсутствие оплаты стоимости права на заключение Договора  на размещение НТО.</w:t>
      </w:r>
    </w:p>
    <w:p w14:paraId="6A48F728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2) Уклонения от подписания протокола о результатах аукциона  победителем Аукциона. </w:t>
      </w:r>
    </w:p>
    <w:p w14:paraId="0C3EA8E1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3) Уклонения или отказа от заключения в установленный срок Договора на размещение НТО,  победителем Аукциона, или единственным принявшем участие в аукционе участником.</w:t>
      </w:r>
    </w:p>
    <w:p w14:paraId="5AE17011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4) Не вышел срок установленный абзацем 2 пункта 4.2.21 Главы 4 настоящих Условий.</w:t>
      </w:r>
    </w:p>
    <w:p w14:paraId="15951C16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</w:p>
    <w:p w14:paraId="14633EA7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>5.1.2. Основания для расторжения Договора на размещение НТО:</w:t>
      </w:r>
    </w:p>
    <w:p w14:paraId="3E674B29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1) Использования (эксплуатация) НТО Землепользователем (или иным лицом) не по назначению.</w:t>
      </w:r>
    </w:p>
    <w:p w14:paraId="1BBB2A1B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2) В случае однократного невнесения Землепользователем платы в установленный  договором срок.</w:t>
      </w:r>
    </w:p>
    <w:p w14:paraId="764B08D9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3) Необеспечение сохранения внешнего вида и (или) вида, и (или) типа, и (или) специализации, и (или) местоположения и (или) размеров НТО в течение установленного периода размещения НТО.</w:t>
      </w:r>
    </w:p>
    <w:p w14:paraId="379F7221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4) Наличие в течение установленного периода размещения НТО двух и более случаев реализации групп товаров, не предусмотренных для места размещения НТО утвержденной Схемой размещения нестационарных торговых объектов на территории городского округа </w:t>
      </w:r>
      <w:r>
        <w:rPr>
          <w:rFonts w:ascii="Liberation Serif" w:hAnsi="Liberation Serif"/>
          <w:b w:val="0"/>
          <w:sz w:val="24"/>
          <w:szCs w:val="24"/>
        </w:rPr>
        <w:lastRenderedPageBreak/>
        <w:t>Красноуфимск, что подтверждено соответствующим актом проверки</w:t>
      </w:r>
      <w:r>
        <w:rPr>
          <w:rFonts w:ascii="Liberation Serif" w:hAnsi="Liberation Serif"/>
          <w:sz w:val="24"/>
          <w:szCs w:val="24"/>
        </w:rPr>
        <w:t>.</w:t>
      </w:r>
    </w:p>
    <w:p w14:paraId="7AEA3B38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5) Использования Землепользователем (или иным лицом) места размещения НТО способами, приводящими к ухудшению качественной характеристики земель и экологической обстановки, т.е. без учета  обеспечения соблюдения экологических, санитарно-гигиенических и других специальных требований (норм, правил, нормативов).</w:t>
      </w:r>
    </w:p>
    <w:p w14:paraId="06EECE61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6) Совершения Землепользователем (или иным лицом) правонарушения, выразившегося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среде.</w:t>
      </w:r>
    </w:p>
    <w:p w14:paraId="12701C9C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7) В случае однократного нарушения Землепользователем (или иным лицом) хотя бы одного из условий Договора и (или) действующего законодательства.</w:t>
      </w:r>
    </w:p>
    <w:p w14:paraId="72063714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8) В случае необходимости использования места размещения НТО для муниципальных или государственных нужд.</w:t>
      </w:r>
    </w:p>
    <w:p w14:paraId="737BF31F" w14:textId="77777777" w:rsidR="00420E38" w:rsidRDefault="00420E38">
      <w:pPr>
        <w:pStyle w:val="ConsPlusTitle"/>
        <w:jc w:val="both"/>
        <w:outlineLvl w:val="1"/>
        <w:rPr>
          <w:b w:val="0"/>
        </w:rPr>
      </w:pPr>
    </w:p>
    <w:p w14:paraId="752AEC03" w14:textId="77777777" w:rsidR="00420E38" w:rsidRDefault="00371FCE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Раздел 5.2.  Последствия прекращения Договора на размещение НТО</w:t>
      </w:r>
    </w:p>
    <w:p w14:paraId="0AAD23C2" w14:textId="77777777" w:rsidR="00420E38" w:rsidRDefault="00420E38">
      <w:pPr>
        <w:pStyle w:val="ConsPlusTitle"/>
        <w:jc w:val="both"/>
        <w:outlineLvl w:val="1"/>
        <w:rPr>
          <w:rFonts w:ascii="Liberation Serif" w:hAnsi="Liberation Serif"/>
          <w:sz w:val="24"/>
          <w:szCs w:val="24"/>
        </w:rPr>
      </w:pPr>
    </w:p>
    <w:p w14:paraId="2F4175E9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 w:val="0"/>
          <w:sz w:val="24"/>
          <w:szCs w:val="24"/>
        </w:rPr>
        <w:tab/>
        <w:t>5.2.1. НТО подлежат демонтажу в течение 10 дней с момента окончания договора или с момента получения уведомления о расторжении Договора на размещение НТО или с момента получения уведомления о демонтаже.</w:t>
      </w:r>
    </w:p>
    <w:p w14:paraId="7D553A77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>5.2.2 НТО подлежит демонтажу собственником НТО за свой счет по следующим основаниям:</w:t>
      </w:r>
    </w:p>
    <w:p w14:paraId="49B0EABB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1) окончание срока действия Договора на размещение НТО;</w:t>
      </w:r>
    </w:p>
    <w:p w14:paraId="2329D962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2) досрочного прекращения действия Договора на размещение НТО.</w:t>
      </w:r>
    </w:p>
    <w:p w14:paraId="17854917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>5.2.3. В случае неисполнения в добровольном порядке субъектом торговли требования о демонтаже НТО в установленные сроки, а также в случае самовольного размещения НТО, осуществляется принудительный демонтаж НТО.</w:t>
      </w:r>
    </w:p>
    <w:p w14:paraId="6F51AB94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>В случае демонтажа НТО администрация городского округа Красноуфимск направляет субъекту торговли письменное извещение заказным отправлением с уведомлением, в котором указываются основания демонтажа, календарная дата, срок и место демонтажа, место последующего хранения и условия последующего получения конструктивных элементов демонтированного НТО субъектом торговли.</w:t>
      </w:r>
    </w:p>
    <w:p w14:paraId="2B303DC2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>При невозможности вручения письменного извещения или установления владельца указанного НТО, извещение об устранении нарушений размещается непосредственно на указанном НТО, о чем составляется акт обследования НТО. В течение 5 (пяти) дней с момента составления акта обследования НТО администрация городского округа Красноуфимск публикует в газете «Вестник городского округа Красноуфимск» и на официальном сайте в сети Интернет объявление с перечислением мест НТО, подлежащих демонтажу. В данном случае извещение о необходимости демонтажа считается врученным с момента публикации указанного объявления в средствах массовой информации.</w:t>
      </w:r>
    </w:p>
    <w:p w14:paraId="74BE1204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>Вскрытие демонтируемых НТО, опись находившегося в них имущества и последующая их сдача на хранение оформляется актом администрации городского округа Красноуфимск. Стоимость работ по вскрытию НТО, демонтажу, транспортировке и хранению НТО и находящегося в них имущества компенсируется субъектом торговли в течение десяти банковских дней с момента надлежащего извещения.</w:t>
      </w:r>
    </w:p>
    <w:p w14:paraId="3AC61BCA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>Выдача конструктивных элементов демонтированного НТО субъекту торговли производится после полного возмещения всех затрат и издержек, понесенных в связи с принудительным демонтажем и последующим хранением.</w:t>
      </w:r>
    </w:p>
    <w:p w14:paraId="5D24E36E" w14:textId="77777777" w:rsidR="00420E38" w:rsidRDefault="00371FCE">
      <w:pPr>
        <w:pStyle w:val="ConsPlusTitle"/>
        <w:jc w:val="both"/>
        <w:outlineLvl w:val="1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ab/>
        <w:t>В случае принятия решения о направлении искового заявления в суд о принудительном демонтаже НТО, демонтаж осуществляется по решению суда в соответствии с действующим законодательством.</w:t>
      </w:r>
    </w:p>
    <w:p w14:paraId="2C104D97" w14:textId="77777777" w:rsidR="00420E38" w:rsidRDefault="00371FCE">
      <w:pPr>
        <w:pStyle w:val="ConsPlusNormal"/>
        <w:jc w:val="right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Приложение № 1</w:t>
      </w:r>
    </w:p>
    <w:p w14:paraId="692E508A" w14:textId="354FEED2" w:rsidR="00732BDA" w:rsidRDefault="00732BDA">
      <w:pPr>
        <w:pStyle w:val="ConsPlusNormal"/>
        <w:jc w:val="right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 Условиям размещения НТО</w:t>
      </w:r>
    </w:p>
    <w:p w14:paraId="087D74F9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14:paraId="4FFD2323" w14:textId="77777777" w:rsidR="00420E38" w:rsidRDefault="00371FCE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bookmarkStart w:id="6" w:name="P261"/>
      <w:bookmarkEnd w:id="6"/>
      <w:r>
        <w:rPr>
          <w:rFonts w:ascii="Liberation Serif" w:hAnsi="Liberation Serif" w:cs="Times New Roman"/>
          <w:sz w:val="24"/>
          <w:szCs w:val="24"/>
        </w:rPr>
        <w:t>СТАВКА</w:t>
      </w:r>
    </w:p>
    <w:p w14:paraId="3D39D5C6" w14:textId="77777777" w:rsidR="00420E38" w:rsidRDefault="00371FCE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ПЛАТЫ ЗА РАЗМЕЩЕНИЕ НЕСТАЦИОНАРНОГО ТОРГОВОГО ОБЪЕКТА</w:t>
      </w:r>
    </w:p>
    <w:p w14:paraId="6ECAE185" w14:textId="77777777" w:rsidR="00420E38" w:rsidRDefault="00371FCE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ТЕРРИТОРИИ ГО КРАСНОУФИМСК</w:t>
      </w:r>
    </w:p>
    <w:p w14:paraId="783AAE4A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7642"/>
        <w:gridCol w:w="1383"/>
      </w:tblGrid>
      <w:tr w:rsidR="00420E38" w14:paraId="71E543B1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3A33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B755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F4A6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Ставка</w:t>
            </w:r>
          </w:p>
        </w:tc>
      </w:tr>
      <w:tr w:rsidR="00420E38" w14:paraId="7F147E8A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D0C5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C59A" w14:textId="77777777" w:rsidR="00420E38" w:rsidRDefault="00371FC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Объекты мелкорозничной торговли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429F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</w:tr>
      <w:tr w:rsidR="00420E38" w14:paraId="20F85F49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62FD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66E4" w14:textId="77777777" w:rsidR="00420E38" w:rsidRDefault="00371FC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Объекты книготорговли и киоски печатной продукции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10A4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420E38" w14:paraId="0A93A2B7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4916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BB78" w14:textId="77777777" w:rsidR="00420E38" w:rsidRDefault="00371FC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Прочие объекты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A26A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</w:tr>
      <w:tr w:rsidR="00420E38" w14:paraId="399AAC3E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F0AA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8DB7" w14:textId="77777777" w:rsidR="00420E38" w:rsidRDefault="00371FC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Бахчевые, овощи-фрукты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64CC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</w:tr>
    </w:tbl>
    <w:p w14:paraId="7DCEA0F5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14:paraId="7B01E06B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14:paraId="120B6E2C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14:paraId="5B8E46DB" w14:textId="77777777" w:rsidR="00420E38" w:rsidRDefault="00371FCE">
      <w:pPr>
        <w:pStyle w:val="ConsPlusNormal"/>
        <w:rPr>
          <w:rFonts w:ascii="Liberation Serif" w:hAnsi="Liberation Serif" w:cs="Times New Roman"/>
          <w:sz w:val="24"/>
          <w:szCs w:val="24"/>
        </w:rPr>
      </w:pPr>
      <w:r>
        <w:br w:type="page"/>
      </w:r>
    </w:p>
    <w:p w14:paraId="7C411439" w14:textId="77777777" w:rsidR="00420E38" w:rsidRDefault="00371FCE" w:rsidP="00732BDA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Приложение № 2</w:t>
      </w:r>
    </w:p>
    <w:p w14:paraId="4194263A" w14:textId="77777777" w:rsidR="00732BDA" w:rsidRDefault="00732BDA" w:rsidP="00732BDA">
      <w:pPr>
        <w:pStyle w:val="ConsPlusNormal"/>
        <w:jc w:val="right"/>
        <w:outlineLvl w:val="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 Условиям размещения НТО</w:t>
      </w:r>
    </w:p>
    <w:p w14:paraId="6C6A3585" w14:textId="77777777" w:rsidR="00732BDA" w:rsidRDefault="00732BDA">
      <w:pPr>
        <w:jc w:val="right"/>
        <w:rPr>
          <w:rFonts w:ascii="Liberation Serif" w:hAnsi="Liberation Serif" w:cs="Times New Roman"/>
          <w:sz w:val="24"/>
          <w:szCs w:val="24"/>
        </w:rPr>
      </w:pPr>
    </w:p>
    <w:p w14:paraId="67B1D8A6" w14:textId="77777777" w:rsidR="00420E38" w:rsidRDefault="00420E38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14:paraId="2CD14195" w14:textId="77777777" w:rsidR="00420E38" w:rsidRDefault="00371FCE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bookmarkStart w:id="7" w:name="P290"/>
      <w:bookmarkEnd w:id="7"/>
      <w:r>
        <w:rPr>
          <w:rFonts w:ascii="Liberation Serif" w:hAnsi="Liberation Serif" w:cs="Times New Roman"/>
          <w:sz w:val="24"/>
          <w:szCs w:val="24"/>
        </w:rPr>
        <w:t>КОЭФФИЦИЕНТ ТЕРРИТОРИАЛЬНОЙ ЗОНЫ</w:t>
      </w:r>
    </w:p>
    <w:p w14:paraId="72CDAC78" w14:textId="77777777" w:rsidR="00420E38" w:rsidRDefault="00371FCE">
      <w:pPr>
        <w:pStyle w:val="ConsPlusNormal"/>
        <w:tabs>
          <w:tab w:val="left" w:pos="2310"/>
        </w:tabs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</w:p>
    <w:tbl>
      <w:tblPr>
        <w:tblW w:w="493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865"/>
        <w:gridCol w:w="1580"/>
      </w:tblGrid>
      <w:tr w:rsidR="00420E38" w14:paraId="2690CDE1" w14:textId="77777777" w:rsidTr="00732BDA">
        <w:trPr>
          <w:trHeight w:val="55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7266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 территориальной зоны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A82B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Территория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4FCB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Коэффициент</w:t>
            </w:r>
          </w:p>
        </w:tc>
      </w:tr>
      <w:tr w:rsidR="00420E38" w14:paraId="1C5412D6" w14:textId="77777777" w:rsidTr="00732BDA">
        <w:trPr>
          <w:trHeight w:val="1106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EDE2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 территориальная зона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B2F9" w14:textId="77777777" w:rsidR="00420E38" w:rsidRDefault="00371FC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улицы: Ленина, Интернациональная, Мизерова, 8 Марта, Свободы, Куйбышева, Писцова, Саргинская, Советская, Сухобского, 3-я Садовая, Ухтомского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B2F3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420E38" w14:paraId="4CC8303F" w14:textId="77777777" w:rsidTr="00732BDA">
        <w:trPr>
          <w:trHeight w:val="55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5E34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 территориальная зона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CF26" w14:textId="77777777" w:rsidR="00420E38" w:rsidRDefault="00371FC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прочие улицы и переулки и т.д.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D1FA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420E38" w14:paraId="1FC70D9F" w14:textId="77777777" w:rsidTr="00732BDA">
        <w:trPr>
          <w:trHeight w:val="566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C537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 территориальная зона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B123" w14:textId="77777777" w:rsidR="00420E38" w:rsidRDefault="00371FC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п. Пудлинговый, д. Журавлиный Лог, д. Черная Речка, а также улицы г. Красноуфимска: Никитинская, Кирпично-Заводская, Рабочая, Сосновая, Нагорная, Полевая, Салавата Юлаева, Береговая, Поселковая, Вокзальная, Майская, Казанская, Вагонная, Соболевская, Монтажников, Спутников, Зеленая, Путевая, Базовая, Заречная, Речная, Ремесленная, Ермака, Белогорская, Цветочная, Булгакова, Зауфимская, Буткинская, Мостовая, Варгина, Заповедная, Сурикова,  переулки: Горняков, Майский, Стекольный, Заречный, Ермака, Буткинский, Заповедный, Сурикова.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639B" w14:textId="77777777" w:rsidR="00420E38" w:rsidRDefault="00371FC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</w:tbl>
    <w:p w14:paraId="32625E36" w14:textId="77777777" w:rsidR="00420E38" w:rsidRDefault="00420E38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sectPr w:rsidR="00420E38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34E59"/>
    <w:multiLevelType w:val="multilevel"/>
    <w:tmpl w:val="C7E08E4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5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1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2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916" w:hanging="2160"/>
      </w:pPr>
    </w:lvl>
  </w:abstractNum>
  <w:abstractNum w:abstractNumId="1" w15:restartNumberingAfterBreak="0">
    <w:nsid w:val="52A418D3"/>
    <w:multiLevelType w:val="multilevel"/>
    <w:tmpl w:val="26561D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7276337">
    <w:abstractNumId w:val="0"/>
  </w:num>
  <w:num w:numId="2" w16cid:durableId="50089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38"/>
    <w:rsid w:val="001E40E2"/>
    <w:rsid w:val="00345498"/>
    <w:rsid w:val="00371FCE"/>
    <w:rsid w:val="00420E38"/>
    <w:rsid w:val="00563588"/>
    <w:rsid w:val="00710E8F"/>
    <w:rsid w:val="00732BDA"/>
    <w:rsid w:val="00AE3F19"/>
    <w:rsid w:val="00C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E61B"/>
  <w15:docId w15:val="{ACE2B0D5-1944-40FC-89F7-139BF586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EB4"/>
    <w:pPr>
      <w:spacing w:after="160" w:line="259" w:lineRule="auto"/>
    </w:pPr>
  </w:style>
  <w:style w:type="paragraph" w:styleId="1">
    <w:name w:val="heading 1"/>
    <w:basedOn w:val="Standard"/>
    <w:next w:val="Standard"/>
    <w:link w:val="10"/>
    <w:uiPriority w:val="9"/>
    <w:qFormat/>
    <w:rsid w:val="0089192D"/>
    <w:pPr>
      <w:keepNext/>
      <w:keepLines/>
      <w:spacing w:before="480" w:after="120" w:line="240" w:lineRule="auto"/>
      <w:outlineLvl w:val="0"/>
    </w:pPr>
    <w:rPr>
      <w:rFonts w:ascii="Cambria" w:eastAsia="Times New Roman" w:hAnsi="Cambria" w:cs="Cambria"/>
      <w:b/>
      <w:bCs/>
      <w:color w:val="365F91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70090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70090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qFormat/>
    <w:rsid w:val="008068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8068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89192D"/>
    <w:rPr>
      <w:rFonts w:ascii="Cambria" w:eastAsia="Times New Roman" w:hAnsi="Cambria" w:cs="Cambria"/>
      <w:b/>
      <w:bCs/>
      <w:color w:val="365F91"/>
      <w:sz w:val="24"/>
      <w:szCs w:val="28"/>
      <w:lang w:eastAsia="ru-RU"/>
    </w:rPr>
  </w:style>
  <w:style w:type="character" w:styleId="a7">
    <w:name w:val="annotation reference"/>
    <w:basedOn w:val="a0"/>
    <w:uiPriority w:val="99"/>
    <w:qFormat/>
    <w:rsid w:val="0089192D"/>
    <w:rPr>
      <w:rFonts w:cs="Times New Roman"/>
      <w:sz w:val="16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F25D51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A2B7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0A2B7A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0A2B7A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qFormat/>
    <w:rsid w:val="00D41F7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qFormat/>
    <w:rsid w:val="002700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700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"/>
    <w:unhideWhenUsed/>
    <w:qFormat/>
    <w:rsid w:val="008068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Колонтитул"/>
    <w:basedOn w:val="a"/>
    <w:qFormat/>
  </w:style>
  <w:style w:type="paragraph" w:customStyle="1" w:styleId="af">
    <w:name w:val="Верхний и нижний колонтитулы"/>
    <w:basedOn w:val="a"/>
    <w:qFormat/>
  </w:style>
  <w:style w:type="paragraph" w:styleId="a6">
    <w:name w:val="footer"/>
    <w:basedOn w:val="a"/>
    <w:link w:val="a5"/>
    <w:uiPriority w:val="99"/>
    <w:rsid w:val="00806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B27076"/>
    <w:pPr>
      <w:spacing w:after="160" w:line="252" w:lineRule="auto"/>
      <w:textAlignment w:val="baseline"/>
    </w:pPr>
    <w:rPr>
      <w:rFonts w:cs="Tahoma"/>
    </w:rPr>
  </w:style>
  <w:style w:type="paragraph" w:customStyle="1" w:styleId="21">
    <w:name w:val="Основной текст (2)"/>
    <w:basedOn w:val="Standard"/>
    <w:qFormat/>
    <w:rsid w:val="0089192D"/>
    <w:pPr>
      <w:shd w:val="clear" w:color="auto" w:fill="FFFFFF"/>
      <w:spacing w:before="600" w:after="0" w:line="321" w:lineRule="exact"/>
    </w:pPr>
    <w:rPr>
      <w:rFonts w:eastAsia="Times New Roman" w:cs="Times New Roman"/>
      <w:sz w:val="26"/>
      <w:szCs w:val="26"/>
      <w:lang w:eastAsia="ru-RU"/>
    </w:rPr>
  </w:style>
  <w:style w:type="paragraph" w:styleId="20">
    <w:name w:val="Body Text 2"/>
    <w:basedOn w:val="a"/>
    <w:link w:val="2"/>
    <w:uiPriority w:val="99"/>
    <w:semiHidden/>
    <w:unhideWhenUsed/>
    <w:qFormat/>
    <w:rsid w:val="00F25D5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6D27CC84F41E3613C62ADA3B2F00E58249E0BA71A08A77B733306F68A8E9BD085C8A69B0B0EFC21D8D80F6EAAC83F175515D76506D8E4H3U2H" TargetMode="External"/><Relationship Id="rId13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A2EF73817F2C196C6FE5F31DBF35EFD07F498E35048592B4CF6B3FD5B60C06E0A5882A65C90710C19CE2D30xCtDD" TargetMode="External"/><Relationship Id="rId12" Type="http://schemas.openxmlformats.org/officeDocument/2006/relationships/hyperlink" Target="consultantplus://offline/ref=31DDB34C6DFEB2D99D46C4B639918BF4A53F2B087F3190E5A0D434A863064D5346FA4F0589C3E06F25A74CDDCB7DC6D7DD8529F10F9F5270KF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1DDB34C6DFEB2D99D46DABB2FFDD5FEA036700C7D3692B5FC8032FF3C564B0606BA4950CA87ED6E2DAC198B88239F879BCE25F013835372E6192D2DK5K3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56B555AF5DC1839CECA12A09D9E547FA7388590275046D5584A2E89E89B4FF713CC533836AB05CFDFA166B2Ez8x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E6D27CC84F41E3613C7CA0B5DEAE045A2FC101AD1F0BF922223551A9DA88CE90C5CEF3CA4F5AF024D1925E2EE1C73E14H4U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9EA74-13FB-49B0-B9C6-CAD9851C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10434</Words>
  <Characters>59475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IT</cp:lastModifiedBy>
  <cp:revision>7</cp:revision>
  <cp:lastPrinted>2023-11-01T11:14:00Z</cp:lastPrinted>
  <dcterms:created xsi:type="dcterms:W3CDTF">2023-10-30T04:36:00Z</dcterms:created>
  <dcterms:modified xsi:type="dcterms:W3CDTF">2023-11-07T10:50:00Z</dcterms:modified>
  <dc:language>ru-RU</dc:language>
</cp:coreProperties>
</file>